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FD" w:rsidRPr="0073521A" w:rsidRDefault="0011489E" w:rsidP="0011489E">
      <w:pPr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73521A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MVĮ darbo gru</w:t>
      </w:r>
      <w:r w:rsidRPr="0073521A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 xml:space="preserve">pės konsultacijos dėl pavėluotų </w:t>
      </w:r>
      <w:r w:rsidRPr="0073521A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mokėjimų</w:t>
      </w:r>
    </w:p>
    <w:p w:rsidR="0011489E" w:rsidRPr="0073521A" w:rsidRDefault="0011489E" w:rsidP="0011489E">
      <w:pPr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</w:p>
    <w:p w:rsidR="0011489E" w:rsidRPr="0073521A" w:rsidRDefault="0011489E" w:rsidP="0011489E">
      <w:pPr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73521A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Bendroji informacija</w:t>
      </w:r>
    </w:p>
    <w:p w:rsidR="0011489E" w:rsidRPr="0073521A" w:rsidRDefault="0011489E" w:rsidP="0011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Šios konsultacijos vykdomos atliekant tyrimą „Atsakingos mokėjimo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kultūros kūrimas ES. Pavėluotų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mokėjimų direktyvos (2011/7/ES) veiksmingumo didinimas“. Tyrimu, kurio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ėmėsi Europos Komisijos Vidaus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rinkos, pramonės, verslumo ir MVĮ generalinis direktoratas, siekiama nustatyti priem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ones, kuriomis būtų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užkirstas kelias mokėjimų vėlav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imui ir sumažintas jo poveikis.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Konsultacijų tikslas - surinkti informaciją, susijusią su keturiais asp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ektais: i) pagrindinėmis įmonių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nustatytomis mokėjimo sąlygomis; ii) įmonių patirtimi, susijusia su nesą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žininga mokėjimo praktika; iii)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įmonių ginčų dėl mokėjimų vėlavimo sprendimo tvarka; iv) įmoni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ų nuomone apie galimas kovos su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mokėjimų vėlavimu politikos priemones.</w:t>
      </w:r>
    </w:p>
    <w:p w:rsidR="0011489E" w:rsidRPr="0073521A" w:rsidRDefault="0011489E" w:rsidP="0011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Konsultacijos skirtos bet kurio sektoriaus mažosioms ir vidutinėms įmonėms (MVĮ). Tačiau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dėmesys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sutelkiamas tik į mokėjimo sąlygas įmonių tarpusavio (B2B) sandoriuose.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Todėl mažmeniniai prekybininkai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ir įmonės, daugiausia tiesiogiai bendradarbiaujančios su vartotojais i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r (arba) viešojo administravimo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institucijomis, konsultacijose nedalyvauja.</w:t>
      </w:r>
    </w:p>
    <w:p w:rsidR="0011489E" w:rsidRPr="0073521A" w:rsidRDefault="0011489E" w:rsidP="001148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1489E" w:rsidRPr="0073521A" w:rsidRDefault="0011489E" w:rsidP="0011489E">
      <w:pPr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73521A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BENDROJI INFORMACIJA</w:t>
      </w:r>
    </w:p>
    <w:p w:rsidR="0011489E" w:rsidRPr="0073521A" w:rsidRDefault="0011489E" w:rsidP="0011489E">
      <w:pPr>
        <w:pStyle w:val="ListParagraph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Įrašykite šį klausimyną jums at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siuntusio Enterprise Europe Network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(E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EN) nario 7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skaitmenų identif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ikavimo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kodą (kurį sudaro raidės ir skaičiai).</w:t>
      </w:r>
    </w:p>
    <w:p w:rsidR="0011489E" w:rsidRPr="0073521A" w:rsidRDefault="0011489E" w:rsidP="0011489E">
      <w:pPr>
        <w:pStyle w:val="ListParagraph"/>
        <w:spacing w:after="0" w:line="276" w:lineRule="auto"/>
        <w:ind w:left="71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1489E" w:rsidRPr="0073521A" w:rsidRDefault="0011489E" w:rsidP="0011489E">
      <w:pPr>
        <w:pStyle w:val="ListParagraph"/>
        <w:spacing w:after="0" w:line="276" w:lineRule="auto"/>
        <w:ind w:left="71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</w:t>
      </w:r>
    </w:p>
    <w:p w:rsidR="0011489E" w:rsidRPr="0073521A" w:rsidRDefault="0011489E" w:rsidP="0011489E">
      <w:pPr>
        <w:pStyle w:val="ListParagraph"/>
        <w:spacing w:after="0" w:line="276" w:lineRule="auto"/>
        <w:ind w:left="71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1148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Koks jūsų įmonės dydis? </w:t>
      </w:r>
    </w:p>
    <w:p w:rsidR="0011489E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</w:t>
      </w:r>
      <w:r w:rsidR="0011489E" w:rsidRPr="0073521A">
        <w:rPr>
          <w:rFonts w:ascii="Times New Roman" w:hAnsi="Times New Roman" w:cs="Times New Roman"/>
          <w:i/>
          <w:sz w:val="24"/>
          <w:szCs w:val="24"/>
          <w:lang w:val="lt-LT"/>
        </w:rPr>
        <w:t>ažymėkite tinkamą variantą.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25465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1-9 darbuotojai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44651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10-49 darbuotojai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50285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50-249 darbuotojai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1489E" w:rsidRPr="0073521A" w:rsidRDefault="0011489E" w:rsidP="001148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Šalis, kurioje įsikūrusi įmonė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94916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IE – Airija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89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AT - Austrija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49672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BE – Belgija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074476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BG – Bulgarija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205654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CZ – Čekija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80882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DK – Danija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2054427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EE – Estija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61288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EL – Graikija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70398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ES – Ispanija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83166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IT – Italija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4128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CY – Kipras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84061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HR – Kroatija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62345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LV – Latvija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7366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PL – Lenkija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6565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LT – Lietuva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49685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LU – Liuksemburgas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92364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NL – Nyderlandai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29297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PT – Portugalija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54961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FR – Prancūzija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65877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RO – Rumunija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6299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SK – Slovakija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8781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SI – Slovėnija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05230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FI – Suomija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8226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SE – Švedija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9404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HU – Vengrija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53163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DE – Vokietija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68451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MT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Мalta</w:t>
      </w:r>
    </w:p>
    <w:p w:rsidR="0011489E" w:rsidRPr="0073521A" w:rsidRDefault="0011489E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11489E" w:rsidP="0011489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Jūsų veiklos sritis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11489E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Pažymėkite vien</w:t>
      </w:r>
      <w:r w:rsidR="0011489E" w:rsidRPr="0073521A">
        <w:rPr>
          <w:rFonts w:ascii="Times New Roman" w:hAnsi="Times New Roman" w:cs="Times New Roman"/>
          <w:i/>
          <w:sz w:val="24"/>
          <w:szCs w:val="24"/>
          <w:lang w:val="lt-LT"/>
        </w:rPr>
        <w:t xml:space="preserve">ą variantą. </w:t>
      </w:r>
    </w:p>
    <w:p w:rsidR="0073521A" w:rsidRPr="0073521A" w:rsidRDefault="0011489E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Pastaba. Jei vyk</w:t>
      </w: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 xml:space="preserve">dote veiklą daugiau nei viename </w:t>
      </w: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sektoriuje, nurodykite sektorių, kurio pardavimas jūsų įmonėje didžiausias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798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Žemės ūkis</w:t>
      </w:r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, miškininkystė ir žuvininkystė</w:t>
      </w:r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[A]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7382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Gamyba [C]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51946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Statyba [F]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18532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Kita pramonė (kasyba, elektra, dujos, atliekų tvarkymas ir kt.) [B, D, E]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532954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Didmeninė prekyba [46 ir 47]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96507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Transportas ir saugojimas [H]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94604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Profesinė, mokslinė ir techninė veikla (inžinerija, teisinė veikla, apskaita, r</w:t>
      </w:r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eklama, konsultavimas ir t. t.) </w:t>
      </w:r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[M]</w:t>
      </w:r>
    </w:p>
    <w:p w:rsidR="0011489E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71676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="0011489E" w:rsidRPr="0073521A">
        <w:rPr>
          <w:rFonts w:ascii="Times New Roman" w:hAnsi="Times New Roman" w:cs="Times New Roman"/>
          <w:sz w:val="24"/>
          <w:szCs w:val="24"/>
          <w:lang w:val="lt-LT"/>
        </w:rPr>
        <w:t>Kitos paslaugos [I, J, K, L, N, P, Q, R, S]</w:t>
      </w:r>
    </w:p>
    <w:p w:rsidR="0073521A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11489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Kas yra pagrindiniai jūsų klientai? 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 xml:space="preserve">Pažymėkite vieną variantą. 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Pastaba. Jei aptarnaujate daugiau nei</w:t>
      </w: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vienos kategorijos klientus, nurodykite kategoriją, kurios pardavimas jūsų įmonėje didžiausias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660042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Didelės įmonės (250 ar daugiau darbuotojų)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126124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Mažosios ir vidutinės įmonės (10-249 darbuotojai)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78209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Labai mažos įmonės (1-9 darbuotojai)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73521A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MOKĖJIMO SĄLYGŲ NUSTATYMAS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b/>
          <w:sz w:val="24"/>
          <w:szCs w:val="24"/>
          <w:lang w:val="lt-LT"/>
        </w:rPr>
        <w:t>Mokėjimo sąlygų nustatymas yra svarbus B2B sandorių elementas,</w:t>
      </w:r>
      <w:r w:rsidRPr="0073521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todėl norime žinoti, kaip jūsų </w:t>
      </w:r>
      <w:r w:rsidRPr="0073521A">
        <w:rPr>
          <w:rFonts w:ascii="Times New Roman" w:hAnsi="Times New Roman" w:cs="Times New Roman"/>
          <w:b/>
          <w:sz w:val="24"/>
          <w:szCs w:val="24"/>
          <w:lang w:val="lt-LT"/>
        </w:rPr>
        <w:t>įmonėje sprendžiamas šis klausimas.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Kaip nustatote B2B sandorių mokėjimo sąlygas? Kuris iš toliau nurodytų apibūdinimų geriausiai atspindi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dabartinę jūsų įmonės praktiką? 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Pažymėkite vieną variantą.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45413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Esame nustatę savo specialias mokėjim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o sąlygas ir prašome klientų jų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laikytis.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046180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Mūsų sektoriuje mokėjimo sąlygos yra gana standartinės ir mes jų laikomės.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5947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Dėl mokėjimo sąlygų deramės kiekvienu konkrečiu atveju.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61720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Mokėjimo sąlygas de facto nustato mūsų klientai.</w:t>
      </w:r>
    </w:p>
    <w:p w:rsidR="0073521A" w:rsidRPr="0073521A" w:rsidRDefault="0073521A" w:rsidP="00735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Ar iš savo klientų reikalaujate išankstinio mokėjimo (visiško arba dalinio)? 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Pažymėkite vieną variantą.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37921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Visada arba beveik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visada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33700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Dažnai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865860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Retai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72551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Niekada arba beveik niekada</w:t>
      </w:r>
    </w:p>
    <w:p w:rsidR="0073521A" w:rsidRPr="0073521A" w:rsidRDefault="0073521A" w:rsidP="00735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Kokios tipinės mokėjimo sąlygos taikomos pardavimui, kuris NĖRA apmokamas iš anksto? Kuris iš toliau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nurodytų apibūdinimų geriausiai atspindi dabartinę jūsų įmonės praktiką? 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Pažymėkite vieną variantą.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83507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Mokėjimas per 30 dienų nuo sąskaitos faktūros išrašymo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29911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Mokėjimas per 30-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60 dienų nuo sąskaitos faktūros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išrašymo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4906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Mokėjimas per 60-90 dienų nuo sąskaitos fak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tūros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išrašymo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2268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521A">
            <w:rPr>
              <w:rFonts w:ascii="MS Gothic" w:eastAsia="MS Gothic" w:hAnsi="MS Gothic" w:cs="Times New Roman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Mokėjimas per daugiau kaip 90 dienų nuo sąskaitos faktūros išrašymo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Ar yra atvejų, kai norėtumėte nesilaikyti pirmiau minėtų įprastų mokėjimo sąlygų ir savo klientams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>pasiūlyti ilgesnius mokėjimo terminus?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78415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Taip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235608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Ne</w:t>
      </w:r>
    </w:p>
    <w:p w:rsidR="0073521A" w:rsidRDefault="0073521A" w:rsidP="00735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Jei taip, kokia 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>pagrindinė priežastis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priimti ilgesnius mokėjimo terminus? (t. y. priežastis, kuri geriausiai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atspindi jūsų dabartinę praktiką). 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i/>
          <w:sz w:val="24"/>
          <w:szCs w:val="24"/>
          <w:lang w:val="lt-LT"/>
        </w:rPr>
        <w:t>Pažymėkite vieną variantą.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492723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Užsitikrinti naujų kli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entų ir (arba) patekti į naujas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rinkas.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10192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Užsitikrinti didesnius ir (arba) pelninges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nius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užsakymus.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47398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Išlaikyti klientą ir (arba) išsaugoti padėtį rink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oje, atsižvelgiant į didėjančią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konkurenciją.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58159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Kai turime labai mažai užsakymų ir mums gyvybiš</w:t>
      </w:r>
      <w:r>
        <w:rPr>
          <w:rFonts w:ascii="Times New Roman" w:hAnsi="Times New Roman" w:cs="Times New Roman"/>
          <w:sz w:val="24"/>
          <w:szCs w:val="24"/>
          <w:lang w:val="lt-LT"/>
        </w:rPr>
        <w:t>kai svarbu rasti naujų klientų.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250391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Kita (nurodykite)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73521A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NESĄŽININGA MOKĖJIMO PRAKTIKA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b/>
          <w:sz w:val="24"/>
          <w:szCs w:val="24"/>
          <w:lang w:val="lt-LT"/>
        </w:rPr>
        <w:t>Vėluojančius mokėjimus (t. y. mokėjimus, kurie atliekami po sutartyje</w:t>
      </w:r>
      <w:r w:rsidRPr="0073521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nustatytos datos/ laikotarpio) </w:t>
      </w:r>
      <w:r w:rsidRPr="0073521A">
        <w:rPr>
          <w:rFonts w:ascii="Times New Roman" w:hAnsi="Times New Roman" w:cs="Times New Roman"/>
          <w:b/>
          <w:sz w:val="24"/>
          <w:szCs w:val="24"/>
          <w:lang w:val="lt-LT"/>
        </w:rPr>
        <w:t>gali lemti įvairios priežastys. Norėtume sužinoti, ar susidūrėte su nesąžininga mokėjimo praktika.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Ar per pastaruosius 12 mėnesių susidūrėte su atvejais, kai klientai 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>siekia atgaline data pakeisti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>pagrindines sutarties nuostatas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(pvz., dėl prekių ir (arba) paslaugų kainos, kiekio ar kokybės, pristatymo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laiko ir t. t.), kad mokėjimas būtų nukeltas po sutartų terminų (ir (arba) kad būtų sumažinta kaina)?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10110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Taip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206013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Ne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Jei taip, gal galėtumėte trumpai aprašyti savo patirtį? (Tokio kliento tipas, dažnumas, naudojami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argumentai, problemos sunkumas ir t. t.)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3521A" w:rsidRPr="0073521A" w:rsidRDefault="0073521A" w:rsidP="0073521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Ar per pastaruosius 12 mėnesių susidūrėte su klientais, kurie 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>tyčia vėluoja priimti suteiktas paslaugas ir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u w:val="single"/>
          <w:lang w:val="lt-LT"/>
        </w:rPr>
        <w:t>(arba) pristatytas prekes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, kad mokėjimas būtų nukeltas po sutartų terminų (ir (arba) kad būtų sumažinta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3521A">
        <w:rPr>
          <w:rFonts w:ascii="Times New Roman" w:hAnsi="Times New Roman" w:cs="Times New Roman"/>
          <w:sz w:val="24"/>
          <w:szCs w:val="24"/>
          <w:lang w:val="lt-LT"/>
        </w:rPr>
        <w:t>kaina)?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102429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Taip</w:t>
      </w:r>
    </w:p>
    <w:p w:rsid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65182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73521A">
        <w:rPr>
          <w:rFonts w:ascii="Times New Roman" w:hAnsi="Times New Roman" w:cs="Times New Roman"/>
          <w:sz w:val="24"/>
          <w:szCs w:val="24"/>
          <w:lang w:val="lt-LT"/>
        </w:rPr>
        <w:t>Ne</w:t>
      </w:r>
    </w:p>
    <w:p w:rsidR="0073521A" w:rsidRPr="0073521A" w:rsidRDefault="0073521A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73521A" w:rsidP="00E060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sz w:val="24"/>
          <w:szCs w:val="24"/>
          <w:lang w:val="lt-LT"/>
        </w:rPr>
        <w:t>Jei taip, gal galėtumėte aprašyti savo patirtį? (Tokio kliento tipas, dažnumas, problemos sunkumas ir</w:t>
      </w:r>
      <w:r w:rsidR="00E060E2" w:rsidRPr="00E060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t. t.)</w:t>
      </w: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</w:t>
      </w: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3521A" w:rsidRPr="00E060E2" w:rsidRDefault="0073521A" w:rsidP="00E060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sz w:val="24"/>
          <w:szCs w:val="24"/>
          <w:lang w:val="lt-LT"/>
        </w:rPr>
        <w:t xml:space="preserve">Ar per pastaruosius 12 mėnesių susidūrėte su </w:t>
      </w:r>
      <w:r w:rsidRPr="00E060E2">
        <w:rPr>
          <w:rFonts w:ascii="Times New Roman" w:hAnsi="Times New Roman" w:cs="Times New Roman"/>
          <w:sz w:val="24"/>
          <w:szCs w:val="24"/>
          <w:u w:val="single"/>
          <w:lang w:val="lt-LT"/>
        </w:rPr>
        <w:t>kokio nors kitokiu nesąžiningu verslo elgesiu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, kuriuo</w:t>
      </w:r>
      <w:r w:rsidR="00E060E2" w:rsidRPr="00E060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buvo siekiama nukelti mokėjimą po sutartų terminų (ir (arba) sumažinti kaina)? Jei taip, gal galėtumėte</w:t>
      </w:r>
      <w:r w:rsidR="00E060E2" w:rsidRPr="00E060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trumpai aprašyti savo patirtį? (Tokio kliento tipas, dažnumas, naudojami argumentai, problemos sunkumas</w:t>
      </w:r>
      <w:r w:rsidR="00E060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ir t. t.)</w:t>
      </w: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</w:t>
      </w:r>
    </w:p>
    <w:p w:rsidR="00E060E2" w:rsidRPr="0073521A" w:rsidRDefault="00E060E2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060E2" w:rsidRDefault="00E060E2" w:rsidP="0073521A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3521A" w:rsidRPr="00E060E2" w:rsidRDefault="0073521A" w:rsidP="00E060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sz w:val="24"/>
          <w:szCs w:val="24"/>
          <w:lang w:val="lt-LT"/>
        </w:rPr>
        <w:t>Kokia buvo sėkmingiausia jūsų įmonės taikyta praktika kovojant su nesąžininga mokėjimo praktika?</w:t>
      </w: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</w:t>
      </w:r>
    </w:p>
    <w:p w:rsidR="00E060E2" w:rsidRPr="00E060E2" w:rsidRDefault="00E060E2" w:rsidP="00E060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E060E2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lastRenderedPageBreak/>
        <w:t>SU MOKĖJIMŲ VĖLAVIMU SUSIJĘ GINČAI</w:t>
      </w:r>
    </w:p>
    <w:p w:rsidR="00E060E2" w:rsidRPr="00E060E2" w:rsidRDefault="00E060E2" w:rsidP="00E060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>Dėl mokėjimų vėlavimo gali kilti ginčų su kitomis įmonėmis. S</w:t>
      </w: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>avo ruožtu šie ginčai gali būti</w:t>
      </w: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>sprendžiami įvairiomis priemonėmis, pvz., kreipiantis į teismą arba naudojantis neteisminiais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>mechanizmais, tokiais kaip arbitražas ir taikinamasis tarpininkavimas. Norėtume sužinoti, kaip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>sprendėte su mokėjimų vėlavimu susijusius ginčus.</w:t>
      </w:r>
    </w:p>
    <w:p w:rsidR="00E060E2" w:rsidRDefault="00E060E2" w:rsidP="00E060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060E2" w:rsidRPr="00E060E2" w:rsidRDefault="00E060E2" w:rsidP="00E060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sz w:val="24"/>
          <w:szCs w:val="24"/>
          <w:lang w:val="lt-LT"/>
        </w:rPr>
        <w:t>Ar kada nors jums yra kilęs ginčas su kita įmone dėl mokėjimų vėlavimo?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42064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0E2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E060E2">
        <w:rPr>
          <w:rFonts w:ascii="Times New Roman" w:hAnsi="Times New Roman" w:cs="Times New Roman"/>
          <w:sz w:val="24"/>
          <w:szCs w:val="24"/>
          <w:lang w:val="lt-LT"/>
        </w:rPr>
        <w:t>Taip</w:t>
      </w:r>
    </w:p>
    <w:p w:rsidR="0073521A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74646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0E2"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E060E2">
        <w:rPr>
          <w:rFonts w:ascii="Times New Roman" w:hAnsi="Times New Roman" w:cs="Times New Roman"/>
          <w:sz w:val="24"/>
          <w:szCs w:val="24"/>
          <w:lang w:val="lt-LT"/>
        </w:rPr>
        <w:t>Ne</w:t>
      </w: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Pr="00E060E2" w:rsidRDefault="00E060E2" w:rsidP="00E060E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</w:pPr>
      <w:r w:rsidRPr="00E060E2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KOVOS SU MOKĖJIMŲ VĖLAVIMU POLITIKOS PRIEMONĖS</w:t>
      </w:r>
    </w:p>
    <w:p w:rsidR="00E060E2" w:rsidRPr="00E060E2" w:rsidRDefault="00E060E2" w:rsidP="00E060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>Plačiai pripažįstama, kad mokėjimų vėlavimas neigiamai veikia ekonomiką. Norėtume sužinoti jūsų</w:t>
      </w: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b/>
          <w:sz w:val="24"/>
          <w:szCs w:val="24"/>
          <w:lang w:val="lt-LT"/>
        </w:rPr>
        <w:t>nuomonę apie galimas politikos priemones šiai problemai spręsti.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E060E2" w:rsidP="00E060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sz w:val="24"/>
          <w:szCs w:val="24"/>
          <w:lang w:val="lt-LT"/>
        </w:rPr>
        <w:t xml:space="preserve">Kokių iniciatyvų, jūsų nuomone, turėtų imtis ES, kad būtų sprendžiama mokėjimų vėlavimo problema? 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i/>
          <w:sz w:val="24"/>
          <w:szCs w:val="24"/>
          <w:lang w:val="lt-LT"/>
        </w:rPr>
        <w:t>Pažymėkite visus tinkamus atsakymus.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382630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E060E2">
        <w:rPr>
          <w:rFonts w:ascii="Times New Roman" w:hAnsi="Times New Roman" w:cs="Times New Roman"/>
          <w:sz w:val="24"/>
          <w:szCs w:val="24"/>
          <w:lang w:val="lt-LT"/>
        </w:rPr>
        <w:t>Priimti naujus teisės aktus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9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E060E2">
        <w:rPr>
          <w:rFonts w:ascii="Times New Roman" w:hAnsi="Times New Roman" w:cs="Times New Roman"/>
          <w:sz w:val="24"/>
          <w:szCs w:val="24"/>
          <w:lang w:val="lt-LT"/>
        </w:rPr>
        <w:t>Skatinti savanoriškas priemones (pvz., mokėjimo elgesio kodeksą)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2109461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E060E2">
        <w:rPr>
          <w:rFonts w:ascii="Times New Roman" w:hAnsi="Times New Roman" w:cs="Times New Roman"/>
          <w:sz w:val="24"/>
          <w:szCs w:val="24"/>
          <w:lang w:val="lt-LT"/>
        </w:rPr>
        <w:t>Remti naudojimąsi arbitražo ir (arba) taikinamojo tarpininkavimo paslaugomis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id w:val="-175913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lt-LT"/>
            </w:rPr>
            <w:t>☐</w:t>
          </w:r>
        </w:sdtContent>
      </w:sdt>
      <w:r w:rsidRPr="00E060E2">
        <w:rPr>
          <w:rFonts w:ascii="Times New Roman" w:hAnsi="Times New Roman" w:cs="Times New Roman"/>
          <w:sz w:val="24"/>
          <w:szCs w:val="24"/>
          <w:lang w:val="lt-LT"/>
        </w:rPr>
        <w:t>Kita</w:t>
      </w:r>
    </w:p>
    <w:p w:rsidR="00E060E2" w:rsidRP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sz w:val="24"/>
          <w:szCs w:val="24"/>
          <w:lang w:val="lt-LT"/>
        </w:rPr>
        <w:t>Jeigu nurodėte „kita“, paaiškinkite</w:t>
      </w: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</w:t>
      </w:r>
    </w:p>
    <w:p w:rsidR="00E060E2" w:rsidRDefault="00E060E2" w:rsidP="00E060E2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60E2" w:rsidRDefault="00E060E2" w:rsidP="00E060E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60E2">
        <w:rPr>
          <w:rFonts w:ascii="Times New Roman" w:hAnsi="Times New Roman" w:cs="Times New Roman"/>
          <w:sz w:val="24"/>
          <w:szCs w:val="24"/>
          <w:lang w:val="lt-LT"/>
        </w:rPr>
        <w:t>Europos Komisija neseniai pasiūlė naują teisės aktą, kuriuo siekiama padidinti didelių įmonių veiklos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skaidrumą atskleidžiant su įvairiais aspektais (aplinkos apsaugos, socialiniu, valdymo) susijusią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nefinansinę informaciją. Pagal šį pasiūlymą informacija apie mokėjimo elgseną taip pat turėtų būti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atskleidžiama ir skelbiama viešai. MVĮ galės naudotis savanorišku supaprastintu ataskaitų teikimo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standartu, kuriuo didelės įmonės taip pat galėtų remtis teikdamos informacijos užklausas MVĮ Jūsų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  <w:lang w:val="lt-LT"/>
        </w:rPr>
        <w:t>nuomone, ar būtų naudinga skelbti su toliau nurodytais aspektais susijusią informaciją</w:t>
      </w:r>
    </w:p>
    <w:p w:rsidR="00E060E2" w:rsidRDefault="00E060E2" w:rsidP="00E0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10028" w:type="dxa"/>
        <w:tblLayout w:type="fixed"/>
        <w:tblLook w:val="04A0" w:firstRow="1" w:lastRow="0" w:firstColumn="1" w:lastColumn="0" w:noHBand="0" w:noVBand="1"/>
      </w:tblPr>
      <w:tblGrid>
        <w:gridCol w:w="4014"/>
        <w:gridCol w:w="1226"/>
        <w:gridCol w:w="1230"/>
        <w:gridCol w:w="1102"/>
        <w:gridCol w:w="1354"/>
        <w:gridCol w:w="1102"/>
      </w:tblGrid>
      <w:tr w:rsidR="00E060E2" w:rsidRPr="006B3B3E" w:rsidTr="006B3B3E">
        <w:tc>
          <w:tcPr>
            <w:tcW w:w="4014" w:type="dxa"/>
          </w:tcPr>
          <w:p w:rsidR="00E060E2" w:rsidRPr="006B3B3E" w:rsidRDefault="00E060E2" w:rsidP="00E060E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226" w:type="dxa"/>
          </w:tcPr>
          <w:p w:rsidR="006B3B3E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Labai</w:t>
            </w:r>
          </w:p>
          <w:p w:rsidR="00E060E2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naudinga</w:t>
            </w:r>
          </w:p>
        </w:tc>
        <w:tc>
          <w:tcPr>
            <w:tcW w:w="1230" w:type="dxa"/>
          </w:tcPr>
          <w:p w:rsidR="006B3B3E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Iš dalies</w:t>
            </w:r>
          </w:p>
          <w:p w:rsidR="00E060E2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naudinga</w:t>
            </w:r>
          </w:p>
        </w:tc>
        <w:tc>
          <w:tcPr>
            <w:tcW w:w="1102" w:type="dxa"/>
          </w:tcPr>
          <w:p w:rsidR="006B3B3E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Nelabai</w:t>
            </w:r>
          </w:p>
          <w:p w:rsidR="00E060E2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naudinga</w:t>
            </w:r>
          </w:p>
        </w:tc>
        <w:tc>
          <w:tcPr>
            <w:tcW w:w="1354" w:type="dxa"/>
          </w:tcPr>
          <w:p w:rsidR="006B3B3E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Visai</w:t>
            </w:r>
          </w:p>
          <w:p w:rsidR="00E060E2" w:rsidRPr="006B3B3E" w:rsidRDefault="006B3B3E" w:rsidP="006B3B3E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nenaudinga</w:t>
            </w:r>
          </w:p>
        </w:tc>
        <w:tc>
          <w:tcPr>
            <w:tcW w:w="1102" w:type="dxa"/>
          </w:tcPr>
          <w:p w:rsidR="00E060E2" w:rsidRPr="006B3B3E" w:rsidRDefault="006B3B3E" w:rsidP="00E060E2">
            <w:pPr>
              <w:spacing w:line="276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Nežinau</w:t>
            </w:r>
          </w:p>
        </w:tc>
      </w:tr>
      <w:tr w:rsidR="006B3B3E" w:rsidRPr="006B3B3E" w:rsidTr="006B3B3E">
        <w:tc>
          <w:tcPr>
            <w:tcW w:w="4014" w:type="dxa"/>
          </w:tcPr>
          <w:p w:rsidR="006B3B3E" w:rsidRPr="006B3B3E" w:rsidRDefault="006B3B3E" w:rsidP="00E060E2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Tiekėjams sutartyse siūlomi standartiniai mokėjimo terminai (dienų skaičius)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68494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6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204952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59308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35511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71341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  <w:tr w:rsidR="00E060E2" w:rsidRPr="006B3B3E" w:rsidTr="006B3B3E">
        <w:tc>
          <w:tcPr>
            <w:tcW w:w="4014" w:type="dxa"/>
          </w:tcPr>
          <w:p w:rsidR="00E060E2" w:rsidRPr="006B3B3E" w:rsidRDefault="00E060E2" w:rsidP="00E060E2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Tiekėjams sutartyse siūlomi ilgiausi</w:t>
            </w:r>
          </w:p>
          <w:p w:rsidR="00E060E2" w:rsidRPr="006B3B3E" w:rsidRDefault="00E060E2" w:rsidP="00E060E2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mokėjimo terminai (dienų skaičius)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4248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6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80060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1534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48570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26042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  <w:tr w:rsidR="00E060E2" w:rsidRPr="006B3B3E" w:rsidTr="006B3B3E">
        <w:tc>
          <w:tcPr>
            <w:tcW w:w="4014" w:type="dxa"/>
          </w:tcPr>
          <w:p w:rsidR="00E060E2" w:rsidRPr="006B3B3E" w:rsidRDefault="006B3B3E" w:rsidP="00E060E2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 xml:space="preserve">Vidutinis sąskaitų faktūrų apmokėjimo laikotarpis (dienų </w:t>
            </w:r>
            <w:r w:rsidR="00E060E2" w:rsidRPr="006B3B3E">
              <w:rPr>
                <w:rFonts w:ascii="Times New Roman" w:hAnsi="Times New Roman" w:cs="Times New Roman"/>
                <w:lang w:val="lt-LT"/>
              </w:rPr>
              <w:t>skaičius)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38406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6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1368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85573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37409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53993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  <w:tr w:rsidR="00E060E2" w:rsidRPr="006B3B3E" w:rsidTr="006B3B3E">
        <w:tc>
          <w:tcPr>
            <w:tcW w:w="4014" w:type="dxa"/>
          </w:tcPr>
          <w:p w:rsidR="00E060E2" w:rsidRPr="006B3B3E" w:rsidRDefault="00E060E2" w:rsidP="00E060E2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lastRenderedPageBreak/>
              <w:t>Są</w:t>
            </w:r>
            <w:r w:rsidR="006B3B3E" w:rsidRPr="006B3B3E">
              <w:rPr>
                <w:rFonts w:ascii="Times New Roman" w:hAnsi="Times New Roman" w:cs="Times New Roman"/>
                <w:lang w:val="lt-LT"/>
              </w:rPr>
              <w:t xml:space="preserve">skaitų faktūrų, apmokėtų per 30 </w:t>
            </w:r>
            <w:r w:rsidRPr="006B3B3E">
              <w:rPr>
                <w:rFonts w:ascii="Times New Roman" w:hAnsi="Times New Roman" w:cs="Times New Roman"/>
                <w:lang w:val="lt-LT"/>
              </w:rPr>
              <w:t>dienų,</w:t>
            </w:r>
            <w:r w:rsidR="006B3B3E" w:rsidRPr="006B3B3E">
              <w:rPr>
                <w:rFonts w:ascii="Times New Roman" w:hAnsi="Times New Roman" w:cs="Times New Roman"/>
                <w:lang w:val="lt-LT"/>
              </w:rPr>
              <w:t xml:space="preserve"> per 31-60 dienų ir per daugiau </w:t>
            </w:r>
            <w:r w:rsidRPr="006B3B3E">
              <w:rPr>
                <w:rFonts w:ascii="Times New Roman" w:hAnsi="Times New Roman" w:cs="Times New Roman"/>
                <w:lang w:val="lt-LT"/>
              </w:rPr>
              <w:t>nei 61 dieną, dalis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5654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6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43474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13908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30770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2018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  <w:tr w:rsidR="00E060E2" w:rsidRPr="006B3B3E" w:rsidTr="006B3B3E">
        <w:tc>
          <w:tcPr>
            <w:tcW w:w="4014" w:type="dxa"/>
          </w:tcPr>
          <w:p w:rsidR="00E060E2" w:rsidRPr="006B3B3E" w:rsidRDefault="006B3B3E" w:rsidP="00E060E2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 xml:space="preserve">Mokėjimų, kai bylinėjamasi dėl </w:t>
            </w:r>
            <w:r w:rsidR="00E060E2" w:rsidRPr="006B3B3E">
              <w:rPr>
                <w:rFonts w:ascii="Times New Roman" w:hAnsi="Times New Roman" w:cs="Times New Roman"/>
                <w:lang w:val="lt-LT"/>
              </w:rPr>
              <w:t>mokėjimo vėlavimo, dalis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204493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6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57943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32150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11112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58471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  <w:tr w:rsidR="00E060E2" w:rsidRPr="006B3B3E" w:rsidTr="006B3B3E">
        <w:tc>
          <w:tcPr>
            <w:tcW w:w="4014" w:type="dxa"/>
          </w:tcPr>
          <w:p w:rsidR="00E060E2" w:rsidRPr="006B3B3E" w:rsidRDefault="006B3B3E" w:rsidP="006B3B3E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>Są</w:t>
            </w:r>
            <w:r w:rsidRPr="006B3B3E">
              <w:rPr>
                <w:rFonts w:ascii="Times New Roman" w:hAnsi="Times New Roman" w:cs="Times New Roman"/>
                <w:lang w:val="lt-LT"/>
              </w:rPr>
              <w:t xml:space="preserve">skaitų faktūrų, kurioms taikyti alternatyvūs ginčų sprendimo </w:t>
            </w:r>
            <w:r w:rsidRPr="006B3B3E">
              <w:rPr>
                <w:rFonts w:ascii="Times New Roman" w:hAnsi="Times New Roman" w:cs="Times New Roman"/>
                <w:lang w:val="lt-LT"/>
              </w:rPr>
              <w:t>mechanizmai, dalis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55876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6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3474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76992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98862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-131780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E060E2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  <w:tr w:rsidR="006B3B3E" w:rsidRPr="006B3B3E" w:rsidTr="006B3B3E">
        <w:tc>
          <w:tcPr>
            <w:tcW w:w="4014" w:type="dxa"/>
          </w:tcPr>
          <w:p w:rsidR="006B3B3E" w:rsidRPr="006B3B3E" w:rsidRDefault="006B3B3E" w:rsidP="006B3B3E">
            <w:pPr>
              <w:rPr>
                <w:rFonts w:ascii="Times New Roman" w:hAnsi="Times New Roman" w:cs="Times New Roman"/>
                <w:lang w:val="lt-LT"/>
              </w:rPr>
            </w:pPr>
            <w:r w:rsidRPr="006B3B3E">
              <w:rPr>
                <w:rFonts w:ascii="Times New Roman" w:hAnsi="Times New Roman" w:cs="Times New Roman"/>
                <w:lang w:val="lt-LT"/>
              </w:rPr>
              <w:t xml:space="preserve">Per sutartą terminą neapmokėtų </w:t>
            </w:r>
            <w:r w:rsidRPr="006B3B3E">
              <w:rPr>
                <w:rFonts w:ascii="Times New Roman" w:hAnsi="Times New Roman" w:cs="Times New Roman"/>
                <w:lang w:val="lt-LT"/>
              </w:rPr>
              <w:t>sąskai</w:t>
            </w:r>
            <w:r w:rsidRPr="006B3B3E">
              <w:rPr>
                <w:rFonts w:ascii="Times New Roman" w:hAnsi="Times New Roman" w:cs="Times New Roman"/>
                <w:lang w:val="lt-LT"/>
              </w:rPr>
              <w:t xml:space="preserve">tų faktūrų, dėl kurių nekilo su </w:t>
            </w:r>
            <w:r w:rsidRPr="006B3B3E">
              <w:rPr>
                <w:rFonts w:ascii="Times New Roman" w:hAnsi="Times New Roman" w:cs="Times New Roman"/>
                <w:lang w:val="lt-LT"/>
              </w:rPr>
              <w:t>kokybe</w:t>
            </w:r>
            <w:r w:rsidRPr="006B3B3E">
              <w:rPr>
                <w:rFonts w:ascii="Times New Roman" w:hAnsi="Times New Roman" w:cs="Times New Roman"/>
                <w:lang w:val="lt-LT"/>
              </w:rPr>
              <w:t xml:space="preserve"> ir (arba) pristatymu susijusių </w:t>
            </w:r>
            <w:r w:rsidRPr="006B3B3E">
              <w:rPr>
                <w:rFonts w:ascii="Times New Roman" w:hAnsi="Times New Roman" w:cs="Times New Roman"/>
                <w:lang w:val="lt-LT"/>
              </w:rPr>
              <w:t>problemų, dalis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20480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6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0437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91612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202642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4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id w:val="144735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</w:tcPr>
              <w:p w:rsidR="006B3B3E" w:rsidRPr="006B3B3E" w:rsidRDefault="006B3B3E" w:rsidP="00E060E2">
                <w:pPr>
                  <w:spacing w:line="276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t-LT"/>
                  </w:rPr>
                  <w:t>☐</w:t>
                </w:r>
              </w:p>
            </w:tc>
          </w:sdtContent>
        </w:sdt>
      </w:tr>
    </w:tbl>
    <w:p w:rsidR="00E060E2" w:rsidRDefault="00E060E2" w:rsidP="00E060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B3B3E" w:rsidRDefault="006B3B3E" w:rsidP="006B3B3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B3B3E">
        <w:rPr>
          <w:rFonts w:ascii="Times New Roman" w:hAnsi="Times New Roman" w:cs="Times New Roman"/>
          <w:sz w:val="24"/>
          <w:szCs w:val="24"/>
          <w:lang w:val="lt-LT"/>
        </w:rPr>
        <w:t>Ar be to, kas išdėstyta pirmiau, yra kitokios informacijos apie mokėjimo</w:t>
      </w:r>
      <w:r w:rsidRPr="006B3B3E">
        <w:rPr>
          <w:rFonts w:ascii="Times New Roman" w:hAnsi="Times New Roman" w:cs="Times New Roman"/>
          <w:sz w:val="24"/>
          <w:szCs w:val="24"/>
          <w:lang w:val="lt-LT"/>
        </w:rPr>
        <w:t xml:space="preserve"> praktiką, kurią didelės įmonės </w:t>
      </w:r>
      <w:r w:rsidRPr="006B3B3E">
        <w:rPr>
          <w:rFonts w:ascii="Times New Roman" w:hAnsi="Times New Roman" w:cs="Times New Roman"/>
          <w:sz w:val="24"/>
          <w:szCs w:val="24"/>
          <w:lang w:val="lt-LT"/>
        </w:rPr>
        <w:t>turėtų atskleisti savo ataskaitose? Jei taip, nurodykite, kokią informaci</w:t>
      </w:r>
      <w:r w:rsidRPr="006B3B3E">
        <w:rPr>
          <w:rFonts w:ascii="Times New Roman" w:hAnsi="Times New Roman" w:cs="Times New Roman"/>
          <w:sz w:val="24"/>
          <w:szCs w:val="24"/>
          <w:lang w:val="lt-LT"/>
        </w:rPr>
        <w:t xml:space="preserve">ją, jūsų nuomone, būtų naudinga </w:t>
      </w:r>
      <w:r w:rsidRPr="006B3B3E">
        <w:rPr>
          <w:rFonts w:ascii="Times New Roman" w:hAnsi="Times New Roman" w:cs="Times New Roman"/>
          <w:sz w:val="24"/>
          <w:szCs w:val="24"/>
          <w:lang w:val="lt-LT"/>
        </w:rPr>
        <w:t>atskleisti.</w:t>
      </w:r>
    </w:p>
    <w:p w:rsidR="006B3B3E" w:rsidRDefault="006B3B3E" w:rsidP="006B3B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B3B3E" w:rsidRDefault="006B3B3E" w:rsidP="006B3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</w:t>
      </w:r>
    </w:p>
    <w:p w:rsidR="006B3B3E" w:rsidRDefault="006B3B3E" w:rsidP="006B3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B3B3E" w:rsidRPr="006B3B3E" w:rsidRDefault="006B3B3E" w:rsidP="006B3B3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B3B3E">
        <w:rPr>
          <w:rFonts w:ascii="Times New Roman" w:hAnsi="Times New Roman" w:cs="Times New Roman"/>
          <w:b/>
          <w:sz w:val="28"/>
          <w:szCs w:val="28"/>
          <w:lang w:val="lt-LT"/>
        </w:rPr>
        <w:t>KONSULTACIJŲ PABAIGA. AČIŪ UŽ DALYVAVIMĄ, JŪSŲ INDĖLIS LABAI NAUDINGAS</w:t>
      </w:r>
      <w:bookmarkStart w:id="0" w:name="_GoBack"/>
      <w:bookmarkEnd w:id="0"/>
    </w:p>
    <w:sectPr w:rsidR="006B3B3E" w:rsidRPr="006B3B3E" w:rsidSect="000F444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0C60"/>
    <w:multiLevelType w:val="hybridMultilevel"/>
    <w:tmpl w:val="AE96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AD"/>
    <w:rsid w:val="000125AD"/>
    <w:rsid w:val="000F4443"/>
    <w:rsid w:val="0011489E"/>
    <w:rsid w:val="006B3B3E"/>
    <w:rsid w:val="0073521A"/>
    <w:rsid w:val="008C0FFD"/>
    <w:rsid w:val="00E0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ED513-5B29-492B-8655-33EC6E01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9E"/>
    <w:pPr>
      <w:ind w:left="720"/>
      <w:contextualSpacing/>
    </w:pPr>
  </w:style>
  <w:style w:type="table" w:styleId="TableGrid">
    <w:name w:val="Table Grid"/>
    <w:basedOn w:val="TableNormal"/>
    <w:uiPriority w:val="39"/>
    <w:rsid w:val="00E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E303-3164-4728-BB7B-AEE182B0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Agne</cp:lastModifiedBy>
  <cp:revision>3</cp:revision>
  <dcterms:created xsi:type="dcterms:W3CDTF">2021-09-20T06:23:00Z</dcterms:created>
  <dcterms:modified xsi:type="dcterms:W3CDTF">2021-09-20T10:14:00Z</dcterms:modified>
</cp:coreProperties>
</file>