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F4B5A" w14:textId="52CFB479" w:rsidR="00D26937" w:rsidRPr="00F07A1B" w:rsidRDefault="00E06843" w:rsidP="00CA2AB3">
      <w:pPr>
        <w:jc w:val="center"/>
        <w:rPr>
          <w:rFonts w:ascii="Times New Roman" w:hAnsi="Times New Roman" w:cs="Times New Roman"/>
          <w:b/>
        </w:rPr>
      </w:pPr>
      <w:r>
        <w:rPr>
          <w:rFonts w:ascii="Times New Roman" w:hAnsi="Times New Roman"/>
          <w:b/>
        </w:rPr>
        <w:t>MVĮ darbo grupės konsultacijos Europos įmonių tinkle</w:t>
      </w:r>
    </w:p>
    <w:p w14:paraId="096F4B5B" w14:textId="77777777" w:rsidR="00CA2AB3" w:rsidRPr="00F07A1B" w:rsidRDefault="00CA2AB3" w:rsidP="00CA2AB3">
      <w:pPr>
        <w:jc w:val="center"/>
        <w:rPr>
          <w:rFonts w:ascii="Times New Roman" w:hAnsi="Times New Roman" w:cs="Times New Roman"/>
          <w:b/>
        </w:rPr>
      </w:pPr>
      <w:r>
        <w:rPr>
          <w:rFonts w:ascii="Times New Roman" w:hAnsi="Times New Roman"/>
          <w:b/>
        </w:rPr>
        <w:t>Konsultacijos dėl B2B dalijimosi duomenimis principų ir gairių</w:t>
      </w:r>
    </w:p>
    <w:p w14:paraId="096F4B5C" w14:textId="0D1AE965" w:rsidR="00847F24" w:rsidRPr="00F07A1B" w:rsidRDefault="00847F24" w:rsidP="00020081">
      <w:pPr>
        <w:jc w:val="both"/>
        <w:rPr>
          <w:rFonts w:ascii="Times New Roman" w:hAnsi="Times New Roman" w:cs="Times New Roman"/>
          <w:u w:val="single"/>
        </w:rPr>
      </w:pPr>
      <w:r>
        <w:rPr>
          <w:rFonts w:ascii="Times New Roman" w:hAnsi="Times New Roman"/>
          <w:u w:val="single"/>
        </w:rPr>
        <w:t xml:space="preserve">Įvadas </w:t>
      </w:r>
    </w:p>
    <w:p w14:paraId="096F4B5D" w14:textId="5E518981" w:rsidR="00064A6E" w:rsidRPr="00F07A1B" w:rsidRDefault="008D257A" w:rsidP="00020081">
      <w:pPr>
        <w:jc w:val="both"/>
        <w:rPr>
          <w:rFonts w:ascii="Times New Roman" w:hAnsi="Times New Roman" w:cs="Times New Roman"/>
        </w:rPr>
      </w:pPr>
      <w:r>
        <w:rPr>
          <w:rFonts w:ascii="Times New Roman" w:hAnsi="Times New Roman"/>
        </w:rPr>
        <w:t xml:space="preserve">Bendrosios skaitmeninės rinkos iniciatyva siekiama pagerinti duomenų prieinamumą duomenų ekonomikoje: </w:t>
      </w:r>
    </w:p>
    <w:p w14:paraId="096F4B5E" w14:textId="77777777" w:rsidR="00064A6E" w:rsidRPr="00F07A1B" w:rsidRDefault="00847F24" w:rsidP="001471D9">
      <w:pPr>
        <w:pStyle w:val="ListParagraph"/>
        <w:numPr>
          <w:ilvl w:val="0"/>
          <w:numId w:val="9"/>
        </w:numPr>
        <w:jc w:val="both"/>
        <w:rPr>
          <w:rFonts w:ascii="Times New Roman" w:hAnsi="Times New Roman" w:cs="Times New Roman"/>
        </w:rPr>
      </w:pPr>
      <w:r>
        <w:rPr>
          <w:rFonts w:ascii="Times New Roman" w:hAnsi="Times New Roman"/>
        </w:rPr>
        <w:t xml:space="preserve">duomenų, kuriais disponuoja viešasis sektorius (viešojo sektoriaus informacija), </w:t>
      </w:r>
    </w:p>
    <w:p w14:paraId="096F4B5F" w14:textId="77777777" w:rsidR="00064A6E" w:rsidRPr="00F07A1B" w:rsidRDefault="00847F24" w:rsidP="001471D9">
      <w:pPr>
        <w:pStyle w:val="ListParagraph"/>
        <w:numPr>
          <w:ilvl w:val="0"/>
          <w:numId w:val="9"/>
        </w:numPr>
        <w:jc w:val="both"/>
        <w:rPr>
          <w:rFonts w:ascii="Times New Roman" w:hAnsi="Times New Roman" w:cs="Times New Roman"/>
        </w:rPr>
      </w:pPr>
      <w:r>
        <w:rPr>
          <w:rFonts w:ascii="Times New Roman" w:hAnsi="Times New Roman"/>
        </w:rPr>
        <w:t xml:space="preserve">duomenų, gautų iš viešosiomis lėšomis finansuojamų mokslinių tyrimų, bet taip pat </w:t>
      </w:r>
    </w:p>
    <w:p w14:paraId="096F4B60" w14:textId="0C9F8233" w:rsidR="00847F24" w:rsidRPr="00F07A1B" w:rsidRDefault="00847F24" w:rsidP="001471D9">
      <w:pPr>
        <w:pStyle w:val="ListParagraph"/>
        <w:numPr>
          <w:ilvl w:val="0"/>
          <w:numId w:val="9"/>
        </w:numPr>
        <w:jc w:val="both"/>
        <w:rPr>
          <w:rFonts w:ascii="Times New Roman" w:hAnsi="Times New Roman" w:cs="Times New Roman"/>
        </w:rPr>
      </w:pPr>
      <w:r>
        <w:rPr>
          <w:rFonts w:ascii="Times New Roman" w:hAnsi="Times New Roman"/>
        </w:rPr>
        <w:t xml:space="preserve">duomenų, kuriais disponuoja verslo įmonės. </w:t>
      </w:r>
    </w:p>
    <w:p w14:paraId="096F4B61" w14:textId="54CA4250" w:rsidR="00847F24" w:rsidRPr="00F07A1B" w:rsidRDefault="008D257A" w:rsidP="00020081">
      <w:pPr>
        <w:jc w:val="both"/>
        <w:rPr>
          <w:rFonts w:ascii="Times New Roman" w:hAnsi="Times New Roman" w:cs="Times New Roman"/>
        </w:rPr>
      </w:pPr>
      <w:r>
        <w:rPr>
          <w:rFonts w:ascii="Times New Roman" w:hAnsi="Times New Roman"/>
        </w:rPr>
        <w:t xml:space="preserve">Geresnis duomenų prieinamumas galėtų praversti toms MVĮ, kurios paprastai neturi pakankamų išteklių rinkti duomenis pačios. </w:t>
      </w:r>
    </w:p>
    <w:p w14:paraId="096F4B62" w14:textId="77777777" w:rsidR="00817569" w:rsidRPr="00F07A1B" w:rsidRDefault="00817569" w:rsidP="00817569">
      <w:pPr>
        <w:jc w:val="both"/>
        <w:rPr>
          <w:rFonts w:ascii="Times New Roman" w:hAnsi="Times New Roman" w:cs="Times New Roman"/>
        </w:rPr>
      </w:pPr>
      <w:r>
        <w:rPr>
          <w:rFonts w:ascii="Times New Roman" w:hAnsi="Times New Roman"/>
        </w:rPr>
        <w:t xml:space="preserve">Kartu pažymėtina, kad, atsiradus galimybei išmaniuosius įrenginius prijungti prie interneto (daiktų internetas), kyla naujų uždavinių, susijusių su komerciniu konfidencialumu, konkurencija ir sąžiningu vertės priskyrimu. </w:t>
      </w:r>
    </w:p>
    <w:p w14:paraId="096F4B63" w14:textId="09021692" w:rsidR="00B92C9C" w:rsidRPr="00F07A1B" w:rsidRDefault="00B92C9C" w:rsidP="00020081">
      <w:pPr>
        <w:jc w:val="both"/>
        <w:rPr>
          <w:rFonts w:ascii="Times New Roman" w:hAnsi="Times New Roman" w:cs="Times New Roman"/>
        </w:rPr>
      </w:pPr>
      <w:r>
        <w:rPr>
          <w:rFonts w:ascii="Times New Roman" w:hAnsi="Times New Roman"/>
        </w:rPr>
        <w:t xml:space="preserve">Dalijimasis verslo duomenimis visų pirma turėtų būti grindžiamas laisve sudaryti sutartis. </w:t>
      </w:r>
    </w:p>
    <w:p w14:paraId="096F4B64" w14:textId="1E560643" w:rsidR="007A2EB2" w:rsidRPr="00F27C8A" w:rsidRDefault="00823008" w:rsidP="00020081">
      <w:pPr>
        <w:jc w:val="both"/>
        <w:rPr>
          <w:rFonts w:ascii="Times New Roman" w:hAnsi="Times New Roman" w:cs="Times New Roman"/>
        </w:rPr>
      </w:pPr>
      <w:r>
        <w:rPr>
          <w:rFonts w:ascii="Times New Roman" w:hAnsi="Times New Roman"/>
        </w:rPr>
        <w:t>Komisija išsamiai išanalizavo šiuos kylančius teisinius klausimus (žr. COM(2017) 9 „Europos duomenų ekonomikos kūrimas“ ir COM(2018) 232 „Europos bendros duomenų erdvės kūrimas“)</w:t>
      </w:r>
      <w:r w:rsidR="000B06B0">
        <w:rPr>
          <w:rFonts w:ascii="Times New Roman" w:hAnsi="Times New Roman"/>
        </w:rPr>
        <w:t xml:space="preserve"> bei </w:t>
      </w:r>
      <w:r>
        <w:rPr>
          <w:rFonts w:ascii="Times New Roman" w:hAnsi="Times New Roman"/>
        </w:rPr>
        <w:t>padarė išvadą, kad:</w:t>
      </w:r>
    </w:p>
    <w:p w14:paraId="096F4B65" w14:textId="0D7D4B6D" w:rsidR="007A2EB2" w:rsidRPr="00F27C8A" w:rsidRDefault="00B92C9C" w:rsidP="001471D9">
      <w:pPr>
        <w:pStyle w:val="ListParagraph"/>
        <w:numPr>
          <w:ilvl w:val="0"/>
          <w:numId w:val="21"/>
        </w:numPr>
        <w:jc w:val="both"/>
        <w:rPr>
          <w:rFonts w:ascii="Times New Roman" w:hAnsi="Times New Roman" w:cs="Times New Roman"/>
        </w:rPr>
      </w:pPr>
      <w:r>
        <w:rPr>
          <w:rFonts w:ascii="Times New Roman" w:hAnsi="Times New Roman"/>
        </w:rPr>
        <w:t xml:space="preserve">laisvė sudaryti sutartis ir toliau išliks visų susitarimų dėl daiktų interneto objektų ir šių objektų generuojamų duomenų naudojimo pagrindas, </w:t>
      </w:r>
    </w:p>
    <w:p w14:paraId="096F4B66" w14:textId="77777777" w:rsidR="007A2EB2" w:rsidRPr="00F27C8A" w:rsidRDefault="007A2EB2" w:rsidP="001471D9">
      <w:pPr>
        <w:pStyle w:val="ListParagraph"/>
        <w:numPr>
          <w:ilvl w:val="0"/>
          <w:numId w:val="21"/>
        </w:numPr>
        <w:jc w:val="both"/>
        <w:rPr>
          <w:rFonts w:ascii="Times New Roman" w:hAnsi="Times New Roman" w:cs="Times New Roman"/>
        </w:rPr>
      </w:pPr>
      <w:r>
        <w:rPr>
          <w:rFonts w:ascii="Times New Roman" w:hAnsi="Times New Roman"/>
        </w:rPr>
        <w:t>duomenimis turi būti dalijamasi vadinamosiose duomenų rinkose,</w:t>
      </w:r>
    </w:p>
    <w:p w14:paraId="096F4B67" w14:textId="29DC2E92" w:rsidR="00B92C9C" w:rsidRPr="00F27C8A" w:rsidRDefault="00F62268" w:rsidP="001471D9">
      <w:pPr>
        <w:pStyle w:val="ListParagraph"/>
        <w:numPr>
          <w:ilvl w:val="0"/>
          <w:numId w:val="21"/>
        </w:numPr>
        <w:jc w:val="both"/>
        <w:rPr>
          <w:rFonts w:ascii="Times New Roman" w:hAnsi="Times New Roman" w:cs="Times New Roman"/>
        </w:rPr>
      </w:pPr>
      <w:r>
        <w:rPr>
          <w:rFonts w:ascii="Times New Roman" w:hAnsi="Times New Roman"/>
        </w:rPr>
        <w:t xml:space="preserve">siekiant užtikrinti sąžiningą konkurenciją šiose rinkose, t. y. tiek daiktų interneto objektų, tiek produktų ir paslaugų, susijusių su automatiškai gautais ne asmens duomenimis, kuriuos generuoja tokie objektai, rinkose, reikėtų laikytis tam tikrų principų. </w:t>
      </w:r>
    </w:p>
    <w:p w14:paraId="096F4B68" w14:textId="77777777" w:rsidR="00F62268" w:rsidRPr="00F27C8A" w:rsidRDefault="00F62268" w:rsidP="00F62268">
      <w:pPr>
        <w:jc w:val="both"/>
        <w:rPr>
          <w:rFonts w:ascii="Times New Roman" w:hAnsi="Times New Roman" w:cs="Times New Roman"/>
        </w:rPr>
      </w:pPr>
      <w:r>
        <w:rPr>
          <w:rFonts w:ascii="Times New Roman" w:hAnsi="Times New Roman"/>
        </w:rPr>
        <w:t xml:space="preserve">Principai taikomi tik ne asmens duomenims, nes asmens duomenų tvarkymas yra pakankamai reglamentuojamas Bendruoju duomenų apsaugos reglamentu ir kitomis taikytinomis taisyklėmis. </w:t>
      </w:r>
    </w:p>
    <w:p w14:paraId="096F4B69" w14:textId="7857094D" w:rsidR="00F62268" w:rsidRPr="00F27C8A" w:rsidRDefault="009646CE" w:rsidP="00F62268">
      <w:pPr>
        <w:jc w:val="both"/>
        <w:rPr>
          <w:rFonts w:ascii="Times New Roman" w:hAnsi="Times New Roman" w:cs="Times New Roman"/>
        </w:rPr>
      </w:pPr>
      <w:r>
        <w:rPr>
          <w:rFonts w:ascii="Times New Roman" w:hAnsi="Times New Roman"/>
        </w:rPr>
        <w:t>Vadovaujantis š</w:t>
      </w:r>
      <w:r w:rsidR="00F62268">
        <w:rPr>
          <w:rFonts w:ascii="Times New Roman" w:hAnsi="Times New Roman"/>
        </w:rPr>
        <w:t xml:space="preserve">iais principais </w:t>
      </w:r>
      <w:r w:rsidR="00975222">
        <w:rPr>
          <w:rFonts w:ascii="Times New Roman" w:hAnsi="Times New Roman"/>
        </w:rPr>
        <w:t>įmonės skatinamos</w:t>
      </w:r>
      <w:r w:rsidR="00975222">
        <w:rPr>
          <w:rFonts w:ascii="Times New Roman" w:hAnsi="Times New Roman"/>
        </w:rPr>
        <w:t xml:space="preserve"> </w:t>
      </w:r>
      <w:bookmarkStart w:id="0" w:name="_GoBack"/>
      <w:bookmarkEnd w:id="0"/>
      <w:r>
        <w:rPr>
          <w:rFonts w:ascii="Times New Roman" w:hAnsi="Times New Roman"/>
        </w:rPr>
        <w:t>atitinkamomis sutartimis</w:t>
      </w:r>
      <w:r w:rsidR="00F62268">
        <w:rPr>
          <w:rFonts w:ascii="Times New Roman" w:hAnsi="Times New Roman"/>
        </w:rPr>
        <w:t>:</w:t>
      </w:r>
    </w:p>
    <w:p w14:paraId="096F4B6A" w14:textId="7C8D768F" w:rsidR="00F62268" w:rsidRPr="00F27C8A" w:rsidRDefault="00F62268" w:rsidP="001471D9">
      <w:pPr>
        <w:pStyle w:val="ListParagraph"/>
        <w:numPr>
          <w:ilvl w:val="0"/>
          <w:numId w:val="3"/>
        </w:numPr>
        <w:spacing w:before="240" w:after="240"/>
        <w:ind w:left="1077"/>
        <w:contextualSpacing w:val="0"/>
        <w:jc w:val="both"/>
        <w:rPr>
          <w:rFonts w:ascii="Times New Roman" w:hAnsi="Times New Roman" w:cs="Times New Roman"/>
          <w:u w:val="single"/>
        </w:rPr>
      </w:pPr>
      <w:r>
        <w:rPr>
          <w:rFonts w:ascii="Times New Roman" w:hAnsi="Times New Roman"/>
        </w:rPr>
        <w:t xml:space="preserve">užtikrinti skaidrumą – kas gali gauti prieigą prie atitinkamų duomenų ir kam jie naudojami; </w:t>
      </w:r>
    </w:p>
    <w:p w14:paraId="096F4B6B" w14:textId="118098D8" w:rsidR="00F62268" w:rsidRPr="00F27C8A" w:rsidRDefault="00F62268" w:rsidP="001471D9">
      <w:pPr>
        <w:pStyle w:val="ListParagraph"/>
        <w:numPr>
          <w:ilvl w:val="0"/>
          <w:numId w:val="3"/>
        </w:numPr>
        <w:spacing w:before="240" w:after="240"/>
        <w:ind w:left="1077"/>
        <w:contextualSpacing w:val="0"/>
        <w:jc w:val="both"/>
        <w:rPr>
          <w:rFonts w:ascii="Times New Roman" w:hAnsi="Times New Roman" w:cs="Times New Roman"/>
          <w:u w:val="single"/>
        </w:rPr>
      </w:pPr>
      <w:r>
        <w:rPr>
          <w:rFonts w:ascii="Times New Roman" w:hAnsi="Times New Roman"/>
        </w:rPr>
        <w:t>kuo labiau pripažinti kiekvienos iš šalių sukuriamą vertę (kai renkami duomenys, kai pateikiant duomenis siūloma ir kitų paslaugų ir t. t.);</w:t>
      </w:r>
    </w:p>
    <w:p w14:paraId="096F4B6C" w14:textId="36F965C0" w:rsidR="00F62268" w:rsidRPr="00F27C8A" w:rsidRDefault="00F62268" w:rsidP="001471D9">
      <w:pPr>
        <w:pStyle w:val="ListParagraph"/>
        <w:numPr>
          <w:ilvl w:val="0"/>
          <w:numId w:val="3"/>
        </w:numPr>
        <w:spacing w:before="240" w:after="240"/>
        <w:ind w:left="1077"/>
        <w:contextualSpacing w:val="0"/>
        <w:jc w:val="both"/>
        <w:rPr>
          <w:rFonts w:ascii="Times New Roman" w:hAnsi="Times New Roman" w:cs="Times New Roman"/>
          <w:u w:val="single"/>
        </w:rPr>
      </w:pPr>
      <w:r>
        <w:rPr>
          <w:rFonts w:ascii="Times New Roman" w:hAnsi="Times New Roman"/>
        </w:rPr>
        <w:t>numatyti apsaugos priemones, skirtas įmonių komercinėms paslaptims ir kitam intelektinės nuosavybės turtui apsaugoti (pvz., išmaniųjų gamybos robotų stebėsena, siekiant suprasti gamybos praktiką, ar sustabdymo laikotarpiai, leidžiantys daryti įmonės ekonominės veiklos prognozes);</w:t>
      </w:r>
    </w:p>
    <w:p w14:paraId="096F4B6D" w14:textId="77777777" w:rsidR="00F62268" w:rsidRPr="00F27C8A" w:rsidRDefault="00F62268" w:rsidP="001471D9">
      <w:pPr>
        <w:pStyle w:val="ListParagraph"/>
        <w:numPr>
          <w:ilvl w:val="0"/>
          <w:numId w:val="3"/>
        </w:numPr>
        <w:spacing w:before="240" w:after="240"/>
        <w:ind w:left="1077"/>
        <w:contextualSpacing w:val="0"/>
        <w:jc w:val="both"/>
        <w:rPr>
          <w:rFonts w:ascii="Times New Roman" w:hAnsi="Times New Roman" w:cs="Times New Roman"/>
          <w:u w:val="single"/>
        </w:rPr>
      </w:pPr>
      <w:r>
        <w:rPr>
          <w:rFonts w:ascii="Times New Roman" w:hAnsi="Times New Roman"/>
        </w:rPr>
        <w:t xml:space="preserve">nesiekti iškreipti konkurencijos, o ypač – užkirsti įmonėms kelio sudarinėti sandorius su daugiau kaip vienu teikėju, pvz., dėl duomenų formatų (ar pan.), kuriais kiti gali naudotis tik patirdami papildomų sąnaudų. </w:t>
      </w:r>
    </w:p>
    <w:p w14:paraId="36CD5DD8" w14:textId="361AF7EE" w:rsidR="00E06843" w:rsidRPr="00F27C8A" w:rsidRDefault="00E06843" w:rsidP="00E06843">
      <w:pPr>
        <w:jc w:val="both"/>
        <w:rPr>
          <w:rFonts w:ascii="Times New Roman" w:hAnsi="Times New Roman" w:cs="Times New Roman"/>
        </w:rPr>
      </w:pPr>
      <w:r>
        <w:rPr>
          <w:rFonts w:ascii="Times New Roman" w:hAnsi="Times New Roman"/>
        </w:rPr>
        <w:lastRenderedPageBreak/>
        <w:t xml:space="preserve">Komunikate „Europos bendros duomenų erdvės kūrimas“ Komisija nurodė, kad apie šiuos principus bus diskutuojama su suinteresuotaisiais subjektais ir kad, atsižvelgiant į tokių diskusijų rezultatus, jie galės būti iš dalies keičiami. Ji paskatino pramonės atstovus rengti elgesio kodeksus ir jais šiuos principus papildyti. Ji nurodė, kad toliau vertins, ar siekiant, kad rinkos toliau veiktų sąžiningai ir liktų atviros, pakanka tokių iš dalies pakeistų principų ir galimų elgesio kodeksų, ir nagrinės padėtį, o prireikus – imsis atitinkamų veiksmų. </w:t>
      </w:r>
    </w:p>
    <w:p w14:paraId="096F4B6E" w14:textId="77777777" w:rsidR="006C2A38" w:rsidRPr="00F27C8A" w:rsidRDefault="006C2A38">
      <w:pPr>
        <w:rPr>
          <w:rFonts w:ascii="Times New Roman" w:hAnsi="Times New Roman" w:cs="Times New Roman"/>
          <w:u w:val="single"/>
        </w:rPr>
      </w:pPr>
      <w:r>
        <w:br w:type="page"/>
      </w:r>
    </w:p>
    <w:p w14:paraId="096F4B6F" w14:textId="77777777" w:rsidR="00CA2AB3" w:rsidRPr="00F27C8A" w:rsidRDefault="00B378FF" w:rsidP="00020081">
      <w:pPr>
        <w:jc w:val="both"/>
        <w:rPr>
          <w:rFonts w:ascii="Times New Roman" w:hAnsi="Times New Roman" w:cs="Times New Roman"/>
          <w:u w:val="single"/>
        </w:rPr>
      </w:pPr>
      <w:r>
        <w:rPr>
          <w:rFonts w:ascii="Times New Roman" w:hAnsi="Times New Roman"/>
          <w:u w:val="single"/>
        </w:rPr>
        <w:lastRenderedPageBreak/>
        <w:t xml:space="preserve">0 DALIS. </w:t>
      </w:r>
    </w:p>
    <w:p w14:paraId="096F4B70" w14:textId="77777777" w:rsidR="00B378FF" w:rsidRPr="00F27C8A" w:rsidRDefault="00B378FF" w:rsidP="00020081">
      <w:pPr>
        <w:jc w:val="both"/>
        <w:rPr>
          <w:rFonts w:ascii="Times New Roman" w:hAnsi="Times New Roman" w:cs="Times New Roman"/>
        </w:rPr>
      </w:pPr>
      <w:r>
        <w:rPr>
          <w:rFonts w:ascii="Times New Roman" w:hAnsi="Times New Roman"/>
        </w:rPr>
        <w:t xml:space="preserve">Informacija apie jūsų įmonę: </w:t>
      </w:r>
    </w:p>
    <w:p w14:paraId="6B2B764E" w14:textId="3C1B7EB9" w:rsidR="00C84A7A" w:rsidRPr="00F27C8A" w:rsidRDefault="00B378FF" w:rsidP="00F27C8A">
      <w:pPr>
        <w:pStyle w:val="ListParagraph"/>
        <w:numPr>
          <w:ilvl w:val="0"/>
          <w:numId w:val="11"/>
        </w:numPr>
        <w:spacing w:before="240" w:after="240"/>
        <w:contextualSpacing w:val="0"/>
        <w:jc w:val="both"/>
        <w:rPr>
          <w:rFonts w:ascii="Times New Roman" w:hAnsi="Times New Roman" w:cs="Times New Roman"/>
        </w:rPr>
      </w:pPr>
      <w:r>
        <w:rPr>
          <w:rFonts w:ascii="Times New Roman" w:hAnsi="Times New Roman"/>
        </w:rPr>
        <w:t xml:space="preserve">Kuriame verslo sektoriuje jūsų įmonė vykdo veiklą? </w:t>
      </w:r>
    </w:p>
    <w:p w14:paraId="6F5CAC22" w14:textId="77777777" w:rsidR="003146DF" w:rsidRPr="00F27C8A" w:rsidRDefault="003146DF" w:rsidP="00285583">
      <w:pPr>
        <w:pStyle w:val="ListParagraph"/>
        <w:numPr>
          <w:ilvl w:val="1"/>
          <w:numId w:val="11"/>
        </w:numPr>
        <w:spacing w:before="240" w:after="240"/>
        <w:contextualSpacing w:val="0"/>
        <w:jc w:val="both"/>
        <w:rPr>
          <w:rFonts w:ascii="Times New Roman" w:hAnsi="Times New Roman" w:cs="Times New Roman"/>
        </w:rPr>
        <w:sectPr w:rsidR="003146DF" w:rsidRPr="00F27C8A">
          <w:pgSz w:w="11906" w:h="16838"/>
          <w:pgMar w:top="1417" w:right="1417" w:bottom="1417" w:left="1417" w:header="708" w:footer="708" w:gutter="0"/>
          <w:cols w:space="708"/>
          <w:docGrid w:linePitch="360"/>
        </w:sectPr>
      </w:pPr>
    </w:p>
    <w:p w14:paraId="71F0A07F" w14:textId="5AC5BFD1" w:rsidR="00C84A7A" w:rsidRPr="00F27C8A" w:rsidRDefault="00C84A7A" w:rsidP="00AF4E8F">
      <w:pPr>
        <w:pStyle w:val="ListParagraph"/>
        <w:numPr>
          <w:ilvl w:val="1"/>
          <w:numId w:val="11"/>
        </w:numPr>
        <w:spacing w:before="240" w:after="240"/>
        <w:rPr>
          <w:rFonts w:ascii="Times New Roman" w:hAnsi="Times New Roman" w:cs="Times New Roman"/>
        </w:rPr>
      </w:pPr>
      <w:r>
        <w:rPr>
          <w:rFonts w:ascii="Times New Roman" w:hAnsi="Times New Roman"/>
        </w:rPr>
        <w:t xml:space="preserve">Žemės ūkis, miškininkystė ir žuvininkystė; maisto perdirbimas, maisto tiekimo grandinė; </w:t>
      </w:r>
    </w:p>
    <w:p w14:paraId="32F14261" w14:textId="1B26AAFF" w:rsidR="00C84A7A" w:rsidRPr="00F27C8A" w:rsidRDefault="00C84A7A" w:rsidP="00AF4E8F">
      <w:pPr>
        <w:pStyle w:val="ListParagraph"/>
        <w:numPr>
          <w:ilvl w:val="1"/>
          <w:numId w:val="11"/>
        </w:numPr>
        <w:spacing w:before="240" w:after="240"/>
        <w:rPr>
          <w:rFonts w:ascii="Times New Roman" w:hAnsi="Times New Roman" w:cs="Times New Roman"/>
        </w:rPr>
      </w:pPr>
      <w:r>
        <w:rPr>
          <w:rFonts w:ascii="Times New Roman" w:hAnsi="Times New Roman"/>
        </w:rPr>
        <w:t xml:space="preserve">Automobilių, įskaitant tiekėjus, gamybą, mažmeninę prekybą, techninę priežiūrą ir aptarnavimą, taip pat susijusias paslaugas po pardavimo; </w:t>
      </w:r>
    </w:p>
    <w:p w14:paraId="0DAA3204" w14:textId="2884A617" w:rsidR="006E16D5" w:rsidRPr="00F27C8A" w:rsidRDefault="006E16D5" w:rsidP="00AF4E8F">
      <w:pPr>
        <w:pStyle w:val="ListParagraph"/>
        <w:numPr>
          <w:ilvl w:val="1"/>
          <w:numId w:val="11"/>
        </w:numPr>
        <w:spacing w:before="240" w:after="240"/>
        <w:rPr>
          <w:rFonts w:ascii="Times New Roman" w:hAnsi="Times New Roman" w:cs="Times New Roman"/>
        </w:rPr>
      </w:pPr>
      <w:r>
        <w:rPr>
          <w:rFonts w:ascii="Times New Roman" w:hAnsi="Times New Roman"/>
        </w:rPr>
        <w:t>Buitiniai prietaisai, „pažangi gyvenamoji aplinka“, įskaitant tiekėjus, gamybą, mažmeninę prekybą, techninę priežiūrą ir aptarnavimą, taip pat susijusias paslaugas po pardavimo;</w:t>
      </w:r>
    </w:p>
    <w:p w14:paraId="5510FAE9" w14:textId="71757EEE" w:rsidR="006E16D5" w:rsidRPr="00F27C8A" w:rsidRDefault="006E16D5" w:rsidP="00AF4E8F">
      <w:pPr>
        <w:pStyle w:val="ListParagraph"/>
        <w:numPr>
          <w:ilvl w:val="1"/>
          <w:numId w:val="11"/>
        </w:numPr>
        <w:spacing w:before="240" w:after="240"/>
        <w:rPr>
          <w:rFonts w:ascii="Times New Roman" w:hAnsi="Times New Roman" w:cs="Times New Roman"/>
        </w:rPr>
      </w:pPr>
      <w:r>
        <w:rPr>
          <w:rFonts w:ascii="Times New Roman" w:hAnsi="Times New Roman"/>
        </w:rPr>
        <w:t xml:space="preserve">Kita gamyba, įskaitant tiekėjus, gamybą, mažmeninę prekybą, techninę priežiūrą ir aptarnavimą, taip pat susijusias paslaugas po pardavimo; </w:t>
      </w:r>
    </w:p>
    <w:p w14:paraId="3B33936F" w14:textId="0B7EDAC8" w:rsidR="006E16D5" w:rsidRPr="00F27C8A" w:rsidRDefault="00A27D80" w:rsidP="00AF4E8F">
      <w:pPr>
        <w:pStyle w:val="ListParagraph"/>
        <w:numPr>
          <w:ilvl w:val="1"/>
          <w:numId w:val="11"/>
        </w:numPr>
        <w:spacing w:before="240" w:after="240"/>
        <w:rPr>
          <w:rFonts w:ascii="Times New Roman" w:hAnsi="Times New Roman" w:cs="Times New Roman"/>
        </w:rPr>
      </w:pPr>
      <w:r>
        <w:rPr>
          <w:rFonts w:ascii="Times New Roman" w:hAnsi="Times New Roman"/>
        </w:rPr>
        <w:t>Keleivių pervežimas (taksi, autobusais, traukiniais, orlaiviais, vandens keliais);</w:t>
      </w:r>
    </w:p>
    <w:p w14:paraId="19872CAE" w14:textId="1C9BE600" w:rsidR="006E16D5" w:rsidRPr="00F27C8A" w:rsidRDefault="006E16D5" w:rsidP="00AF4E8F">
      <w:pPr>
        <w:pStyle w:val="ListParagraph"/>
        <w:numPr>
          <w:ilvl w:val="1"/>
          <w:numId w:val="11"/>
        </w:numPr>
        <w:spacing w:before="240" w:after="240"/>
        <w:rPr>
          <w:rFonts w:ascii="Times New Roman" w:hAnsi="Times New Roman" w:cs="Times New Roman"/>
        </w:rPr>
      </w:pPr>
      <w:r>
        <w:rPr>
          <w:rFonts w:ascii="Times New Roman" w:hAnsi="Times New Roman"/>
        </w:rPr>
        <w:t>Logistika;</w:t>
      </w:r>
    </w:p>
    <w:p w14:paraId="4FDCEFAD" w14:textId="69E392A4" w:rsidR="00C84A7A" w:rsidRPr="00F27C8A" w:rsidRDefault="00C84A7A" w:rsidP="00AF4E8F">
      <w:pPr>
        <w:pStyle w:val="ListParagraph"/>
        <w:numPr>
          <w:ilvl w:val="1"/>
          <w:numId w:val="11"/>
        </w:numPr>
        <w:spacing w:before="240" w:after="240"/>
        <w:rPr>
          <w:rFonts w:ascii="Times New Roman" w:hAnsi="Times New Roman" w:cs="Times New Roman"/>
        </w:rPr>
      </w:pPr>
      <w:r>
        <w:rPr>
          <w:rFonts w:ascii="Times New Roman" w:hAnsi="Times New Roman"/>
        </w:rPr>
        <w:t xml:space="preserve">Telekomunikacijos, įskaitant tiekėjus; </w:t>
      </w:r>
    </w:p>
    <w:p w14:paraId="40D49674" w14:textId="369CA84C" w:rsidR="00C84A7A" w:rsidRPr="00F27C8A" w:rsidRDefault="00C84A7A" w:rsidP="00AF4E8F">
      <w:pPr>
        <w:pStyle w:val="ListParagraph"/>
        <w:numPr>
          <w:ilvl w:val="1"/>
          <w:numId w:val="11"/>
        </w:numPr>
        <w:spacing w:before="240" w:after="240"/>
        <w:rPr>
          <w:rFonts w:ascii="Times New Roman" w:hAnsi="Times New Roman" w:cs="Times New Roman"/>
        </w:rPr>
      </w:pPr>
      <w:r>
        <w:rPr>
          <w:rFonts w:ascii="Times New Roman" w:hAnsi="Times New Roman"/>
        </w:rPr>
        <w:t xml:space="preserve">Mažmeninė prekyba; </w:t>
      </w:r>
    </w:p>
    <w:p w14:paraId="660A800C" w14:textId="4C84D709" w:rsidR="006E16D5" w:rsidRPr="00F27C8A" w:rsidRDefault="006E16D5" w:rsidP="00AF4E8F">
      <w:pPr>
        <w:pStyle w:val="ListParagraph"/>
        <w:numPr>
          <w:ilvl w:val="1"/>
          <w:numId w:val="11"/>
        </w:numPr>
        <w:spacing w:before="240" w:after="240"/>
        <w:rPr>
          <w:rFonts w:ascii="Times New Roman" w:hAnsi="Times New Roman" w:cs="Times New Roman"/>
        </w:rPr>
      </w:pPr>
      <w:r>
        <w:rPr>
          <w:rFonts w:ascii="Times New Roman" w:hAnsi="Times New Roman"/>
        </w:rPr>
        <w:t xml:space="preserve">Žiniasklaida, viešinimas, transliavimas ir susijusios paslaugos, įskaitant reklamą; </w:t>
      </w:r>
    </w:p>
    <w:p w14:paraId="439376BC" w14:textId="33C29820" w:rsidR="006E16D5" w:rsidRPr="00F27C8A" w:rsidRDefault="006E16D5" w:rsidP="00AF4E8F">
      <w:pPr>
        <w:pStyle w:val="ListParagraph"/>
        <w:numPr>
          <w:ilvl w:val="1"/>
          <w:numId w:val="11"/>
        </w:numPr>
        <w:spacing w:before="240" w:after="240"/>
        <w:rPr>
          <w:rFonts w:ascii="Times New Roman" w:hAnsi="Times New Roman" w:cs="Times New Roman"/>
        </w:rPr>
      </w:pPr>
      <w:r>
        <w:rPr>
          <w:rFonts w:ascii="Times New Roman" w:hAnsi="Times New Roman"/>
        </w:rPr>
        <w:t>Sveikatos priežiūros, socialinės paslaugos;</w:t>
      </w:r>
    </w:p>
    <w:p w14:paraId="6A5CC874" w14:textId="3316078E" w:rsidR="00C84A7A" w:rsidRPr="00F27C8A" w:rsidRDefault="006E16D5" w:rsidP="00AF4E8F">
      <w:pPr>
        <w:pStyle w:val="ListParagraph"/>
        <w:numPr>
          <w:ilvl w:val="1"/>
          <w:numId w:val="11"/>
        </w:numPr>
        <w:spacing w:before="240" w:after="240"/>
        <w:rPr>
          <w:rFonts w:ascii="Times New Roman" w:hAnsi="Times New Roman" w:cs="Times New Roman"/>
        </w:rPr>
      </w:pPr>
      <w:r>
        <w:rPr>
          <w:rFonts w:ascii="Times New Roman" w:hAnsi="Times New Roman"/>
        </w:rPr>
        <w:t>Finansai ir draudimas (išskyrus transporto priemonių draudimą);</w:t>
      </w:r>
    </w:p>
    <w:p w14:paraId="1F3A5767" w14:textId="1A947C23" w:rsidR="006E16D5" w:rsidRPr="00F27C8A" w:rsidRDefault="006E16D5" w:rsidP="00AF4E8F">
      <w:pPr>
        <w:pStyle w:val="ListParagraph"/>
        <w:numPr>
          <w:ilvl w:val="1"/>
          <w:numId w:val="11"/>
        </w:numPr>
        <w:spacing w:before="240" w:after="240"/>
        <w:rPr>
          <w:rFonts w:ascii="Times New Roman" w:hAnsi="Times New Roman" w:cs="Times New Roman"/>
        </w:rPr>
      </w:pPr>
      <w:r>
        <w:rPr>
          <w:rFonts w:ascii="Times New Roman" w:hAnsi="Times New Roman"/>
        </w:rPr>
        <w:t xml:space="preserve">Teisinės konsultacijos; rinkos tyrimai; </w:t>
      </w:r>
    </w:p>
    <w:p w14:paraId="611B2E67" w14:textId="77777777" w:rsidR="00CE1D70" w:rsidRPr="00F27C8A" w:rsidRDefault="00CE1D70" w:rsidP="00AF4E8F">
      <w:pPr>
        <w:pStyle w:val="ListParagraph"/>
        <w:numPr>
          <w:ilvl w:val="1"/>
          <w:numId w:val="11"/>
        </w:numPr>
        <w:spacing w:before="240" w:after="240"/>
        <w:rPr>
          <w:rFonts w:ascii="Times New Roman" w:hAnsi="Times New Roman" w:cs="Times New Roman"/>
        </w:rPr>
      </w:pPr>
      <w:r>
        <w:rPr>
          <w:rFonts w:ascii="Times New Roman" w:hAnsi="Times New Roman"/>
        </w:rPr>
        <w:t xml:space="preserve">Elektros energijos, dujų, vandens, garo ir oro gamyba ir (arba) perdavimas / tiekimas, įskaitant susijusias duomenų paslaugas; </w:t>
      </w:r>
    </w:p>
    <w:p w14:paraId="096F4B71" w14:textId="05D95108" w:rsidR="00B378FF" w:rsidRPr="00F27C8A" w:rsidRDefault="006E16D5" w:rsidP="00AF4E8F">
      <w:pPr>
        <w:pStyle w:val="ListParagraph"/>
        <w:numPr>
          <w:ilvl w:val="1"/>
          <w:numId w:val="11"/>
        </w:numPr>
        <w:spacing w:before="240" w:after="240"/>
        <w:rPr>
          <w:rFonts w:ascii="Times New Roman" w:hAnsi="Times New Roman" w:cs="Times New Roman"/>
        </w:rPr>
      </w:pPr>
      <w:r>
        <w:rPr>
          <w:rFonts w:ascii="Times New Roman" w:hAnsi="Times New Roman"/>
        </w:rPr>
        <w:t xml:space="preserve">Kita </w:t>
      </w:r>
    </w:p>
    <w:p w14:paraId="4EF57E0E" w14:textId="77777777" w:rsidR="003146DF" w:rsidRPr="00F27C8A" w:rsidRDefault="003146DF" w:rsidP="00F27C8A">
      <w:pPr>
        <w:pStyle w:val="ListParagraph"/>
        <w:numPr>
          <w:ilvl w:val="0"/>
          <w:numId w:val="11"/>
        </w:numPr>
        <w:spacing w:before="240" w:after="240" w:line="240" w:lineRule="auto"/>
        <w:ind w:left="714" w:hanging="357"/>
        <w:contextualSpacing w:val="0"/>
        <w:rPr>
          <w:rFonts w:ascii="Times New Roman" w:hAnsi="Times New Roman" w:cs="Times New Roman"/>
          <w:sz w:val="32"/>
        </w:rPr>
        <w:sectPr w:rsidR="003146DF" w:rsidRPr="00F27C8A" w:rsidSect="00F27C8A">
          <w:type w:val="continuous"/>
          <w:pgSz w:w="11906" w:h="16838"/>
          <w:pgMar w:top="1417" w:right="1417" w:bottom="1417" w:left="1417" w:header="708" w:footer="708" w:gutter="0"/>
          <w:cols w:num="2" w:space="708"/>
          <w:docGrid w:linePitch="360"/>
        </w:sectPr>
      </w:pPr>
    </w:p>
    <w:p w14:paraId="29F24A05" w14:textId="77777777" w:rsidR="00F27C8A" w:rsidRPr="00F27C8A" w:rsidRDefault="00F27C8A" w:rsidP="00F27C8A">
      <w:pPr>
        <w:spacing w:before="240" w:after="240"/>
        <w:jc w:val="both"/>
        <w:rPr>
          <w:rFonts w:ascii="Times New Roman" w:hAnsi="Times New Roman" w:cs="Times New Roman"/>
        </w:rPr>
        <w:sectPr w:rsidR="00F27C8A" w:rsidRPr="00F27C8A" w:rsidSect="00F27C8A">
          <w:type w:val="continuous"/>
          <w:pgSz w:w="11906" w:h="16838"/>
          <w:pgMar w:top="1417" w:right="1417" w:bottom="1417" w:left="1417" w:header="708" w:footer="708" w:gutter="0"/>
          <w:cols w:num="2" w:space="708"/>
          <w:docGrid w:linePitch="360"/>
        </w:sectPr>
      </w:pPr>
    </w:p>
    <w:p w14:paraId="4A2F41F3" w14:textId="2EAE649E" w:rsidR="00BE2F27" w:rsidRDefault="004D06D6" w:rsidP="00F27C8A">
      <w:pPr>
        <w:pStyle w:val="ListParagraph"/>
        <w:numPr>
          <w:ilvl w:val="0"/>
          <w:numId w:val="11"/>
        </w:numPr>
        <w:spacing w:before="240" w:after="240"/>
        <w:ind w:left="850" w:hanging="357"/>
        <w:contextualSpacing w:val="0"/>
        <w:jc w:val="both"/>
        <w:rPr>
          <w:rFonts w:ascii="Times New Roman" w:hAnsi="Times New Roman" w:cs="Times New Roman"/>
        </w:rPr>
      </w:pPr>
      <w:r>
        <w:rPr>
          <w:rFonts w:ascii="Times New Roman" w:hAnsi="Times New Roman"/>
        </w:rPr>
        <w:t xml:space="preserve">Kokioje (-iose) šalyje (-yse) vykdote daugiausia ekonominės veiklos? </w:t>
      </w:r>
    </w:p>
    <w:p w14:paraId="398C4077" w14:textId="77777777" w:rsidR="003A69FC" w:rsidRDefault="003A69FC" w:rsidP="003A69FC">
      <w:pPr>
        <w:spacing w:before="240" w:after="240"/>
        <w:jc w:val="both"/>
        <w:rPr>
          <w:rFonts w:ascii="Times New Roman" w:hAnsi="Times New Roman" w:cs="Times New Roman"/>
        </w:rPr>
        <w:sectPr w:rsidR="003A69FC" w:rsidSect="003146DF">
          <w:type w:val="continuous"/>
          <w:pgSz w:w="11906" w:h="16838"/>
          <w:pgMar w:top="1417" w:right="1417" w:bottom="1417" w:left="1417" w:header="708" w:footer="708" w:gutter="0"/>
          <w:cols w:space="708"/>
          <w:docGrid w:linePitch="360"/>
        </w:sectPr>
      </w:pPr>
    </w:p>
    <w:p w14:paraId="0988F6BC" w14:textId="6A4D7B9E" w:rsidR="003A69FC" w:rsidRPr="003A69FC" w:rsidRDefault="003A69FC" w:rsidP="003A69FC">
      <w:pPr>
        <w:spacing w:before="240" w:after="240"/>
        <w:jc w:val="both"/>
        <w:rPr>
          <w:rFonts w:ascii="Times New Roman" w:hAnsi="Times New Roman" w:cs="Times New Roman"/>
        </w:rPr>
      </w:pPr>
      <w:r>
        <w:rPr>
          <w:rFonts w:ascii="Times New Roman" w:hAnsi="Times New Roman"/>
        </w:rPr>
        <w:t>Austrija</w:t>
      </w:r>
    </w:p>
    <w:p w14:paraId="301C1165" w14:textId="2ADC89E7" w:rsidR="003A69FC" w:rsidRPr="003A69FC" w:rsidRDefault="003A69FC" w:rsidP="003A69FC">
      <w:pPr>
        <w:spacing w:before="240" w:after="240"/>
        <w:jc w:val="both"/>
        <w:rPr>
          <w:rFonts w:ascii="Times New Roman" w:hAnsi="Times New Roman" w:cs="Times New Roman"/>
        </w:rPr>
      </w:pPr>
      <w:r>
        <w:rPr>
          <w:rFonts w:ascii="Times New Roman" w:hAnsi="Times New Roman"/>
        </w:rPr>
        <w:t>Belgija</w:t>
      </w:r>
    </w:p>
    <w:p w14:paraId="45AC81B9" w14:textId="1D136084" w:rsidR="003A69FC" w:rsidRPr="003A69FC" w:rsidRDefault="003A69FC" w:rsidP="003A69FC">
      <w:pPr>
        <w:spacing w:before="240" w:after="240"/>
        <w:jc w:val="both"/>
        <w:rPr>
          <w:rFonts w:ascii="Times New Roman" w:hAnsi="Times New Roman" w:cs="Times New Roman"/>
        </w:rPr>
      </w:pPr>
      <w:r>
        <w:rPr>
          <w:rFonts w:ascii="Times New Roman" w:hAnsi="Times New Roman"/>
        </w:rPr>
        <w:t>Bulgarija</w:t>
      </w:r>
    </w:p>
    <w:p w14:paraId="4ADF69F7" w14:textId="75609B34" w:rsidR="003A69FC" w:rsidRPr="003A69FC" w:rsidRDefault="003A69FC" w:rsidP="003A69FC">
      <w:pPr>
        <w:spacing w:before="240" w:after="240"/>
        <w:jc w:val="both"/>
        <w:rPr>
          <w:rFonts w:ascii="Times New Roman" w:hAnsi="Times New Roman" w:cs="Times New Roman"/>
        </w:rPr>
      </w:pPr>
      <w:r>
        <w:rPr>
          <w:rFonts w:ascii="Times New Roman" w:hAnsi="Times New Roman"/>
        </w:rPr>
        <w:t>Kroatija</w:t>
      </w:r>
    </w:p>
    <w:p w14:paraId="75162009" w14:textId="2B8F64C7" w:rsidR="003A69FC" w:rsidRPr="003A69FC" w:rsidRDefault="003A69FC" w:rsidP="003A69FC">
      <w:pPr>
        <w:spacing w:before="240" w:after="240"/>
        <w:jc w:val="both"/>
        <w:rPr>
          <w:rFonts w:ascii="Times New Roman" w:hAnsi="Times New Roman" w:cs="Times New Roman"/>
        </w:rPr>
      </w:pPr>
      <w:r>
        <w:rPr>
          <w:rFonts w:ascii="Times New Roman" w:hAnsi="Times New Roman"/>
        </w:rPr>
        <w:t>Kipras</w:t>
      </w:r>
    </w:p>
    <w:p w14:paraId="31710C66" w14:textId="4A6A34D5" w:rsidR="003A69FC" w:rsidRPr="003A69FC" w:rsidRDefault="003A69FC" w:rsidP="003A69FC">
      <w:pPr>
        <w:spacing w:before="240" w:after="240"/>
        <w:jc w:val="both"/>
        <w:rPr>
          <w:rFonts w:ascii="Times New Roman" w:hAnsi="Times New Roman" w:cs="Times New Roman"/>
        </w:rPr>
      </w:pPr>
      <w:r>
        <w:rPr>
          <w:rFonts w:ascii="Times New Roman" w:hAnsi="Times New Roman"/>
        </w:rPr>
        <w:t>Čekija</w:t>
      </w:r>
    </w:p>
    <w:p w14:paraId="5C0974C3" w14:textId="5712DB7C" w:rsidR="003A69FC" w:rsidRPr="003A69FC" w:rsidRDefault="003A69FC" w:rsidP="003A69FC">
      <w:pPr>
        <w:spacing w:before="240" w:after="240"/>
        <w:jc w:val="both"/>
        <w:rPr>
          <w:rFonts w:ascii="Times New Roman" w:hAnsi="Times New Roman" w:cs="Times New Roman"/>
        </w:rPr>
      </w:pPr>
      <w:r>
        <w:rPr>
          <w:rFonts w:ascii="Times New Roman" w:hAnsi="Times New Roman"/>
        </w:rPr>
        <w:t>Danija</w:t>
      </w:r>
    </w:p>
    <w:p w14:paraId="016DCB6C" w14:textId="6F4E0454" w:rsidR="003A69FC" w:rsidRPr="003A69FC" w:rsidRDefault="003A69FC" w:rsidP="003A69FC">
      <w:pPr>
        <w:spacing w:before="240" w:after="240"/>
        <w:jc w:val="both"/>
        <w:rPr>
          <w:rFonts w:ascii="Times New Roman" w:hAnsi="Times New Roman" w:cs="Times New Roman"/>
        </w:rPr>
      </w:pPr>
      <w:r>
        <w:rPr>
          <w:rFonts w:ascii="Times New Roman" w:hAnsi="Times New Roman"/>
        </w:rPr>
        <w:t>Estija</w:t>
      </w:r>
    </w:p>
    <w:p w14:paraId="61B88F9E" w14:textId="2ACA8BAE" w:rsidR="003A69FC" w:rsidRPr="003A69FC" w:rsidRDefault="003A69FC" w:rsidP="003A69FC">
      <w:pPr>
        <w:spacing w:before="240" w:after="240"/>
        <w:jc w:val="both"/>
        <w:rPr>
          <w:rFonts w:ascii="Times New Roman" w:hAnsi="Times New Roman" w:cs="Times New Roman"/>
        </w:rPr>
      </w:pPr>
      <w:r>
        <w:rPr>
          <w:rFonts w:ascii="Times New Roman" w:hAnsi="Times New Roman"/>
        </w:rPr>
        <w:t>Suomija</w:t>
      </w:r>
    </w:p>
    <w:p w14:paraId="0FD4C85A" w14:textId="1EC44030" w:rsidR="003A69FC" w:rsidRPr="003A69FC" w:rsidRDefault="003A69FC" w:rsidP="003A69FC">
      <w:pPr>
        <w:spacing w:before="240" w:after="240"/>
        <w:jc w:val="both"/>
        <w:rPr>
          <w:rFonts w:ascii="Times New Roman" w:hAnsi="Times New Roman" w:cs="Times New Roman"/>
        </w:rPr>
      </w:pPr>
      <w:r>
        <w:rPr>
          <w:rFonts w:ascii="Times New Roman" w:hAnsi="Times New Roman"/>
        </w:rPr>
        <w:t>Prancūzija</w:t>
      </w:r>
    </w:p>
    <w:p w14:paraId="16D7117C" w14:textId="6D21AF7B" w:rsidR="003A69FC" w:rsidRPr="003A69FC" w:rsidRDefault="003A69FC" w:rsidP="003A69FC">
      <w:pPr>
        <w:spacing w:before="240" w:after="240"/>
        <w:jc w:val="both"/>
        <w:rPr>
          <w:rFonts w:ascii="Times New Roman" w:hAnsi="Times New Roman" w:cs="Times New Roman"/>
        </w:rPr>
      </w:pPr>
      <w:r>
        <w:rPr>
          <w:rFonts w:ascii="Times New Roman" w:hAnsi="Times New Roman"/>
        </w:rPr>
        <w:t>Vokietija</w:t>
      </w:r>
    </w:p>
    <w:p w14:paraId="01CACE02" w14:textId="3B470EAC" w:rsidR="003A69FC" w:rsidRPr="003A69FC" w:rsidRDefault="003A69FC" w:rsidP="003A69FC">
      <w:pPr>
        <w:spacing w:before="240" w:after="240"/>
        <w:jc w:val="both"/>
        <w:rPr>
          <w:rFonts w:ascii="Times New Roman" w:hAnsi="Times New Roman" w:cs="Times New Roman"/>
        </w:rPr>
      </w:pPr>
      <w:r>
        <w:rPr>
          <w:rFonts w:ascii="Times New Roman" w:hAnsi="Times New Roman"/>
        </w:rPr>
        <w:t>Graikija</w:t>
      </w:r>
    </w:p>
    <w:p w14:paraId="30BD9EF7" w14:textId="51B77D19" w:rsidR="003A69FC" w:rsidRPr="003A69FC" w:rsidRDefault="003A69FC" w:rsidP="003A69FC">
      <w:pPr>
        <w:spacing w:before="240" w:after="240"/>
        <w:jc w:val="both"/>
        <w:rPr>
          <w:rFonts w:ascii="Times New Roman" w:hAnsi="Times New Roman" w:cs="Times New Roman"/>
        </w:rPr>
      </w:pPr>
      <w:r>
        <w:rPr>
          <w:rFonts w:ascii="Times New Roman" w:hAnsi="Times New Roman"/>
        </w:rPr>
        <w:t>Vengrija</w:t>
      </w:r>
    </w:p>
    <w:p w14:paraId="0336DC06" w14:textId="6D912872" w:rsidR="003A69FC" w:rsidRPr="003A69FC" w:rsidRDefault="003A69FC" w:rsidP="003A69FC">
      <w:pPr>
        <w:spacing w:before="240" w:after="240"/>
        <w:jc w:val="both"/>
        <w:rPr>
          <w:rFonts w:ascii="Times New Roman" w:hAnsi="Times New Roman" w:cs="Times New Roman"/>
        </w:rPr>
      </w:pPr>
      <w:r>
        <w:rPr>
          <w:rFonts w:ascii="Times New Roman" w:hAnsi="Times New Roman"/>
        </w:rPr>
        <w:t>Airija</w:t>
      </w:r>
    </w:p>
    <w:p w14:paraId="1D039E73" w14:textId="2C4BAA09" w:rsidR="003A69FC" w:rsidRPr="003A69FC" w:rsidRDefault="003A69FC" w:rsidP="003A69FC">
      <w:pPr>
        <w:spacing w:before="240" w:after="240"/>
        <w:jc w:val="both"/>
        <w:rPr>
          <w:rFonts w:ascii="Times New Roman" w:hAnsi="Times New Roman" w:cs="Times New Roman"/>
        </w:rPr>
      </w:pPr>
      <w:r>
        <w:rPr>
          <w:rFonts w:ascii="Times New Roman" w:hAnsi="Times New Roman"/>
        </w:rPr>
        <w:t>Italija</w:t>
      </w:r>
    </w:p>
    <w:p w14:paraId="40B8D910" w14:textId="5B959CCF" w:rsidR="003A69FC" w:rsidRPr="003A69FC" w:rsidRDefault="003A69FC" w:rsidP="003A69FC">
      <w:pPr>
        <w:spacing w:before="240" w:after="240"/>
        <w:jc w:val="both"/>
        <w:rPr>
          <w:rFonts w:ascii="Times New Roman" w:hAnsi="Times New Roman" w:cs="Times New Roman"/>
        </w:rPr>
      </w:pPr>
      <w:r>
        <w:rPr>
          <w:rFonts w:ascii="Times New Roman" w:hAnsi="Times New Roman"/>
        </w:rPr>
        <w:t>Latvija</w:t>
      </w:r>
    </w:p>
    <w:p w14:paraId="64107473" w14:textId="11A5CE7E" w:rsidR="003A69FC" w:rsidRPr="003A69FC" w:rsidRDefault="003A69FC" w:rsidP="003A69FC">
      <w:pPr>
        <w:spacing w:before="240" w:after="240"/>
        <w:jc w:val="both"/>
        <w:rPr>
          <w:rFonts w:ascii="Times New Roman" w:hAnsi="Times New Roman" w:cs="Times New Roman"/>
        </w:rPr>
      </w:pPr>
      <w:r>
        <w:rPr>
          <w:rFonts w:ascii="Times New Roman" w:hAnsi="Times New Roman"/>
        </w:rPr>
        <w:t>Lietuva</w:t>
      </w:r>
    </w:p>
    <w:p w14:paraId="3140373B" w14:textId="2DFA0FB2" w:rsidR="003A69FC" w:rsidRPr="003A69FC" w:rsidRDefault="003A69FC" w:rsidP="003A69FC">
      <w:pPr>
        <w:spacing w:before="240" w:after="240"/>
        <w:jc w:val="both"/>
        <w:rPr>
          <w:rFonts w:ascii="Times New Roman" w:hAnsi="Times New Roman" w:cs="Times New Roman"/>
        </w:rPr>
      </w:pPr>
      <w:r>
        <w:rPr>
          <w:rFonts w:ascii="Times New Roman" w:hAnsi="Times New Roman"/>
        </w:rPr>
        <w:t>Liuksemburgas</w:t>
      </w:r>
    </w:p>
    <w:p w14:paraId="4775A8E7" w14:textId="7D2216D9" w:rsidR="003A69FC" w:rsidRPr="003A69FC" w:rsidRDefault="003A69FC" w:rsidP="003A69FC">
      <w:pPr>
        <w:spacing w:before="240" w:after="240"/>
        <w:jc w:val="both"/>
        <w:rPr>
          <w:rFonts w:ascii="Times New Roman" w:hAnsi="Times New Roman" w:cs="Times New Roman"/>
        </w:rPr>
      </w:pPr>
      <w:r>
        <w:rPr>
          <w:rFonts w:ascii="Times New Roman" w:hAnsi="Times New Roman"/>
        </w:rPr>
        <w:t>Мalta</w:t>
      </w:r>
    </w:p>
    <w:p w14:paraId="58699C6A" w14:textId="2536A6BB" w:rsidR="003A69FC" w:rsidRPr="003A69FC" w:rsidRDefault="003A69FC" w:rsidP="003A69FC">
      <w:pPr>
        <w:spacing w:before="240" w:after="240"/>
        <w:jc w:val="both"/>
        <w:rPr>
          <w:rFonts w:ascii="Times New Roman" w:hAnsi="Times New Roman" w:cs="Times New Roman"/>
        </w:rPr>
      </w:pPr>
      <w:r>
        <w:rPr>
          <w:rFonts w:ascii="Times New Roman" w:hAnsi="Times New Roman"/>
        </w:rPr>
        <w:t>Nyderlandai</w:t>
      </w:r>
    </w:p>
    <w:p w14:paraId="7FF44B37" w14:textId="2536A6BB" w:rsidR="003A69FC" w:rsidRPr="003A69FC" w:rsidRDefault="003A69FC" w:rsidP="003A69FC">
      <w:pPr>
        <w:spacing w:before="240" w:after="240"/>
        <w:jc w:val="both"/>
        <w:rPr>
          <w:rFonts w:ascii="Times New Roman" w:hAnsi="Times New Roman" w:cs="Times New Roman"/>
        </w:rPr>
      </w:pPr>
      <w:r>
        <w:rPr>
          <w:rFonts w:ascii="Times New Roman" w:hAnsi="Times New Roman"/>
        </w:rPr>
        <w:t>Lenkija</w:t>
      </w:r>
    </w:p>
    <w:p w14:paraId="604164FD" w14:textId="60F60932" w:rsidR="003A69FC" w:rsidRPr="003A69FC" w:rsidRDefault="003A69FC" w:rsidP="003A69FC">
      <w:pPr>
        <w:spacing w:before="240" w:after="240"/>
        <w:jc w:val="both"/>
        <w:rPr>
          <w:rFonts w:ascii="Times New Roman" w:hAnsi="Times New Roman" w:cs="Times New Roman"/>
        </w:rPr>
      </w:pPr>
      <w:r>
        <w:rPr>
          <w:rFonts w:ascii="Times New Roman" w:hAnsi="Times New Roman"/>
        </w:rPr>
        <w:t>Portugalija</w:t>
      </w:r>
    </w:p>
    <w:p w14:paraId="7F2A6AB7" w14:textId="22078D39" w:rsidR="003A69FC" w:rsidRPr="003A69FC" w:rsidRDefault="003A69FC" w:rsidP="003A69FC">
      <w:pPr>
        <w:spacing w:before="240" w:after="240"/>
        <w:jc w:val="both"/>
        <w:rPr>
          <w:rFonts w:ascii="Times New Roman" w:hAnsi="Times New Roman" w:cs="Times New Roman"/>
        </w:rPr>
      </w:pPr>
      <w:r>
        <w:rPr>
          <w:rFonts w:ascii="Times New Roman" w:hAnsi="Times New Roman"/>
        </w:rPr>
        <w:t>Rumunija</w:t>
      </w:r>
    </w:p>
    <w:p w14:paraId="377BE09A" w14:textId="6E913287" w:rsidR="003A69FC" w:rsidRPr="003A69FC" w:rsidRDefault="003A69FC" w:rsidP="003A69FC">
      <w:pPr>
        <w:spacing w:before="240" w:after="240"/>
        <w:jc w:val="both"/>
        <w:rPr>
          <w:rFonts w:ascii="Times New Roman" w:hAnsi="Times New Roman" w:cs="Times New Roman"/>
        </w:rPr>
      </w:pPr>
      <w:r>
        <w:rPr>
          <w:rFonts w:ascii="Times New Roman" w:hAnsi="Times New Roman"/>
        </w:rPr>
        <w:t>Slovakija</w:t>
      </w:r>
    </w:p>
    <w:p w14:paraId="6DE12E08" w14:textId="51BE91EE" w:rsidR="003A69FC" w:rsidRPr="003A69FC" w:rsidRDefault="003A69FC" w:rsidP="003A69FC">
      <w:pPr>
        <w:spacing w:before="240" w:after="240"/>
        <w:jc w:val="both"/>
        <w:rPr>
          <w:rFonts w:ascii="Times New Roman" w:hAnsi="Times New Roman" w:cs="Times New Roman"/>
        </w:rPr>
      </w:pPr>
      <w:r>
        <w:rPr>
          <w:rFonts w:ascii="Times New Roman" w:hAnsi="Times New Roman"/>
        </w:rPr>
        <w:t>Slovėnija</w:t>
      </w:r>
    </w:p>
    <w:p w14:paraId="5CCEBF8C" w14:textId="795D24E0" w:rsidR="003A69FC" w:rsidRPr="003A69FC" w:rsidRDefault="003A69FC" w:rsidP="003A69FC">
      <w:pPr>
        <w:spacing w:before="240" w:after="240"/>
        <w:jc w:val="both"/>
        <w:rPr>
          <w:rFonts w:ascii="Times New Roman" w:hAnsi="Times New Roman" w:cs="Times New Roman"/>
        </w:rPr>
      </w:pPr>
      <w:r>
        <w:rPr>
          <w:rFonts w:ascii="Times New Roman" w:hAnsi="Times New Roman"/>
        </w:rPr>
        <w:t>Ispanija</w:t>
      </w:r>
    </w:p>
    <w:p w14:paraId="00B90340" w14:textId="43E48A6A" w:rsidR="003A69FC" w:rsidRPr="003A69FC" w:rsidRDefault="003A69FC" w:rsidP="003A69FC">
      <w:pPr>
        <w:spacing w:before="240" w:after="240"/>
        <w:jc w:val="both"/>
        <w:rPr>
          <w:rFonts w:ascii="Times New Roman" w:hAnsi="Times New Roman" w:cs="Times New Roman"/>
        </w:rPr>
      </w:pPr>
      <w:r>
        <w:rPr>
          <w:rFonts w:ascii="Times New Roman" w:hAnsi="Times New Roman"/>
        </w:rPr>
        <w:t>Švedija</w:t>
      </w:r>
    </w:p>
    <w:p w14:paraId="28C32DB4" w14:textId="4568FB0E" w:rsidR="003A69FC" w:rsidRPr="003A69FC" w:rsidRDefault="003A69FC" w:rsidP="003A69FC">
      <w:pPr>
        <w:spacing w:before="240" w:after="240"/>
        <w:jc w:val="both"/>
        <w:rPr>
          <w:rFonts w:ascii="Times New Roman" w:hAnsi="Times New Roman" w:cs="Times New Roman"/>
        </w:rPr>
      </w:pPr>
      <w:r>
        <w:rPr>
          <w:rFonts w:ascii="Times New Roman" w:hAnsi="Times New Roman"/>
        </w:rPr>
        <w:lastRenderedPageBreak/>
        <w:t>Jungtinė Karalystė</w:t>
      </w:r>
    </w:p>
    <w:p w14:paraId="58C24C3B" w14:textId="62BD20D7" w:rsidR="00AF4E8F" w:rsidRPr="00AF4E8F" w:rsidRDefault="003A69FC" w:rsidP="003A69FC">
      <w:pPr>
        <w:spacing w:before="240" w:after="240"/>
        <w:jc w:val="both"/>
        <w:rPr>
          <w:rFonts w:ascii="Times New Roman" w:hAnsi="Times New Roman" w:cs="Times New Roman"/>
        </w:rPr>
      </w:pPr>
      <w:r>
        <w:rPr>
          <w:rFonts w:ascii="Times New Roman" w:hAnsi="Times New Roman"/>
        </w:rPr>
        <w:t>Kita</w:t>
      </w:r>
    </w:p>
    <w:p w14:paraId="7E0331E8" w14:textId="77777777" w:rsidR="003A69FC" w:rsidRDefault="003A69FC" w:rsidP="00F27C8A">
      <w:pPr>
        <w:pStyle w:val="ListParagraph"/>
        <w:numPr>
          <w:ilvl w:val="0"/>
          <w:numId w:val="11"/>
        </w:numPr>
        <w:spacing w:before="240" w:after="240"/>
        <w:contextualSpacing w:val="0"/>
        <w:jc w:val="both"/>
        <w:rPr>
          <w:rFonts w:ascii="Times New Roman" w:hAnsi="Times New Roman" w:cs="Times New Roman"/>
        </w:rPr>
        <w:sectPr w:rsidR="003A69FC" w:rsidSect="003A69FC">
          <w:type w:val="continuous"/>
          <w:pgSz w:w="11906" w:h="16838"/>
          <w:pgMar w:top="1417" w:right="1417" w:bottom="1417" w:left="1417" w:header="708" w:footer="708" w:gutter="0"/>
          <w:cols w:num="3" w:space="708"/>
          <w:docGrid w:linePitch="360"/>
        </w:sectPr>
      </w:pPr>
    </w:p>
    <w:p w14:paraId="3A3341C1" w14:textId="5491F224" w:rsidR="00BE2F27" w:rsidRPr="00F27C8A" w:rsidRDefault="00BE2F27" w:rsidP="00F27C8A">
      <w:pPr>
        <w:pStyle w:val="ListParagraph"/>
        <w:numPr>
          <w:ilvl w:val="0"/>
          <w:numId w:val="11"/>
        </w:numPr>
        <w:spacing w:before="240" w:after="240"/>
        <w:contextualSpacing w:val="0"/>
        <w:jc w:val="both"/>
        <w:rPr>
          <w:rFonts w:ascii="Times New Roman" w:hAnsi="Times New Roman" w:cs="Times New Roman"/>
        </w:rPr>
      </w:pPr>
      <w:r>
        <w:rPr>
          <w:rFonts w:ascii="Times New Roman" w:hAnsi="Times New Roman"/>
        </w:rPr>
        <w:t>Jei kita, prašau nurodyti kokioje (-iose) šalyje (-yse) vykdote daugiausia ekonominės veiklos:</w:t>
      </w:r>
    </w:p>
    <w:p w14:paraId="03C26742" w14:textId="454BB0B1" w:rsidR="00AF4E8F" w:rsidRDefault="00AF4E8F" w:rsidP="00AF4E8F">
      <w:pPr>
        <w:spacing w:before="240" w:after="240"/>
        <w:jc w:val="both"/>
        <w:rPr>
          <w:rFonts w:ascii="Times New Roman" w:hAnsi="Times New Roman" w:cs="Times New Roman"/>
        </w:rPr>
      </w:pPr>
    </w:p>
    <w:p w14:paraId="03C64DF9" w14:textId="77777777" w:rsidR="00AF4E8F" w:rsidRPr="00AF4E8F" w:rsidRDefault="00AF4E8F" w:rsidP="00AF4E8F">
      <w:pPr>
        <w:spacing w:before="240" w:after="240"/>
        <w:jc w:val="both"/>
        <w:rPr>
          <w:rFonts w:ascii="Times New Roman" w:hAnsi="Times New Roman" w:cs="Times New Roman"/>
        </w:rPr>
      </w:pPr>
    </w:p>
    <w:p w14:paraId="153D61C5" w14:textId="30F3604E" w:rsidR="002E5ADD" w:rsidRPr="00F27C8A" w:rsidRDefault="002E5ADD" w:rsidP="001471D9">
      <w:pPr>
        <w:pStyle w:val="ListParagraph"/>
        <w:numPr>
          <w:ilvl w:val="0"/>
          <w:numId w:val="11"/>
        </w:numPr>
        <w:spacing w:before="240" w:after="240"/>
        <w:ind w:left="714" w:hanging="357"/>
        <w:contextualSpacing w:val="0"/>
        <w:jc w:val="both"/>
        <w:rPr>
          <w:rFonts w:ascii="Times New Roman" w:hAnsi="Times New Roman" w:cs="Times New Roman"/>
        </w:rPr>
      </w:pPr>
      <w:r>
        <w:rPr>
          <w:rFonts w:ascii="Times New Roman" w:hAnsi="Times New Roman"/>
        </w:rPr>
        <w:t>Koks jūsų įmonės dydis (darbuotojų skaičius visos darbo dienos ekvivalentu)?</w:t>
      </w:r>
    </w:p>
    <w:p w14:paraId="22EE0365" w14:textId="77777777" w:rsidR="003146DF" w:rsidRPr="00F27C8A" w:rsidRDefault="003146DF" w:rsidP="00285583">
      <w:pPr>
        <w:pStyle w:val="ListParagraph"/>
        <w:numPr>
          <w:ilvl w:val="1"/>
          <w:numId w:val="11"/>
        </w:numPr>
        <w:spacing w:before="240" w:after="240"/>
        <w:contextualSpacing w:val="0"/>
        <w:jc w:val="both"/>
        <w:rPr>
          <w:rFonts w:ascii="Times New Roman" w:hAnsi="Times New Roman" w:cs="Times New Roman"/>
        </w:rPr>
        <w:sectPr w:rsidR="003146DF" w:rsidRPr="00F27C8A" w:rsidSect="003146DF">
          <w:type w:val="continuous"/>
          <w:pgSz w:w="11906" w:h="16838"/>
          <w:pgMar w:top="1417" w:right="1417" w:bottom="1417" w:left="1417" w:header="708" w:footer="708" w:gutter="0"/>
          <w:cols w:space="708"/>
          <w:docGrid w:linePitch="360"/>
        </w:sectPr>
      </w:pPr>
    </w:p>
    <w:p w14:paraId="10F235C4" w14:textId="3A712D92" w:rsidR="002E5ADD" w:rsidRPr="00F27C8A" w:rsidRDefault="002E5ADD" w:rsidP="00285583">
      <w:pPr>
        <w:pStyle w:val="ListParagraph"/>
        <w:numPr>
          <w:ilvl w:val="1"/>
          <w:numId w:val="11"/>
        </w:numPr>
        <w:spacing w:before="240" w:after="240"/>
        <w:contextualSpacing w:val="0"/>
        <w:jc w:val="both"/>
        <w:rPr>
          <w:rFonts w:ascii="Times New Roman" w:hAnsi="Times New Roman" w:cs="Times New Roman"/>
        </w:rPr>
      </w:pPr>
      <w:r>
        <w:rPr>
          <w:rFonts w:ascii="Times New Roman" w:hAnsi="Times New Roman"/>
        </w:rPr>
        <w:t>Mažiau negu 10 darbuotojų (labai maža įmonė);</w:t>
      </w:r>
    </w:p>
    <w:p w14:paraId="66288C65" w14:textId="5C728C4F" w:rsidR="002E5ADD" w:rsidRPr="00F27C8A" w:rsidRDefault="002E5ADD" w:rsidP="00285583">
      <w:pPr>
        <w:pStyle w:val="ListParagraph"/>
        <w:numPr>
          <w:ilvl w:val="1"/>
          <w:numId w:val="11"/>
        </w:numPr>
        <w:spacing w:before="240" w:after="240"/>
        <w:contextualSpacing w:val="0"/>
        <w:jc w:val="both"/>
        <w:rPr>
          <w:rFonts w:ascii="Times New Roman" w:hAnsi="Times New Roman" w:cs="Times New Roman"/>
        </w:rPr>
      </w:pPr>
      <w:r>
        <w:rPr>
          <w:rFonts w:ascii="Times New Roman" w:hAnsi="Times New Roman"/>
        </w:rPr>
        <w:t>11–49 darbuotojai (mažoji įmonė);</w:t>
      </w:r>
    </w:p>
    <w:p w14:paraId="00463F2E" w14:textId="77777777" w:rsidR="008D257A" w:rsidRPr="00F27C8A" w:rsidRDefault="002E5ADD" w:rsidP="00285583">
      <w:pPr>
        <w:pStyle w:val="ListParagraph"/>
        <w:numPr>
          <w:ilvl w:val="1"/>
          <w:numId w:val="11"/>
        </w:numPr>
        <w:spacing w:before="240" w:after="240"/>
        <w:contextualSpacing w:val="0"/>
        <w:jc w:val="both"/>
        <w:rPr>
          <w:rFonts w:ascii="Times New Roman" w:hAnsi="Times New Roman" w:cs="Times New Roman"/>
        </w:rPr>
      </w:pPr>
      <w:r>
        <w:rPr>
          <w:rFonts w:ascii="Times New Roman" w:hAnsi="Times New Roman"/>
        </w:rPr>
        <w:t>50–249 darbuotojai (vidutinė įmonė);</w:t>
      </w:r>
    </w:p>
    <w:p w14:paraId="03F11F9F" w14:textId="787D4266" w:rsidR="002E5ADD" w:rsidRPr="00F27C8A" w:rsidRDefault="008D257A" w:rsidP="00285583">
      <w:pPr>
        <w:pStyle w:val="ListParagraph"/>
        <w:numPr>
          <w:ilvl w:val="1"/>
          <w:numId w:val="11"/>
        </w:numPr>
        <w:spacing w:before="240" w:after="240"/>
        <w:contextualSpacing w:val="0"/>
        <w:jc w:val="both"/>
        <w:rPr>
          <w:rFonts w:ascii="Times New Roman" w:hAnsi="Times New Roman" w:cs="Times New Roman"/>
        </w:rPr>
      </w:pPr>
      <w:r>
        <w:rPr>
          <w:rFonts w:ascii="Times New Roman" w:hAnsi="Times New Roman"/>
        </w:rPr>
        <w:t>Daugiau kaip 249 darbuotojai (stambi įmonė).</w:t>
      </w:r>
    </w:p>
    <w:p w14:paraId="7CCB4596" w14:textId="77777777" w:rsidR="003146DF" w:rsidRPr="00F27C8A" w:rsidRDefault="003146DF" w:rsidP="00020081">
      <w:pPr>
        <w:jc w:val="both"/>
        <w:rPr>
          <w:rFonts w:ascii="Times New Roman" w:hAnsi="Times New Roman" w:cs="Times New Roman"/>
          <w:u w:val="single"/>
        </w:rPr>
        <w:sectPr w:rsidR="003146DF" w:rsidRPr="00F27C8A" w:rsidSect="00F27C8A">
          <w:type w:val="continuous"/>
          <w:pgSz w:w="11906" w:h="16838"/>
          <w:pgMar w:top="1417" w:right="1417" w:bottom="1417" w:left="1417" w:header="708" w:footer="708" w:gutter="0"/>
          <w:cols w:num="2" w:space="708"/>
          <w:docGrid w:linePitch="360"/>
        </w:sectPr>
      </w:pPr>
    </w:p>
    <w:p w14:paraId="096F4B73" w14:textId="20050CDD" w:rsidR="00CA2AB3" w:rsidRPr="00F27C8A" w:rsidRDefault="00CA2AB3" w:rsidP="00020081">
      <w:pPr>
        <w:jc w:val="both"/>
        <w:rPr>
          <w:rFonts w:ascii="Times New Roman" w:hAnsi="Times New Roman" w:cs="Times New Roman"/>
          <w:u w:val="single"/>
        </w:rPr>
      </w:pPr>
      <w:r>
        <w:rPr>
          <w:rFonts w:ascii="Times New Roman" w:hAnsi="Times New Roman"/>
          <w:u w:val="single"/>
        </w:rPr>
        <w:t xml:space="preserve">1 DALIS. Ne asmens duomenų naudojimas ir generavimas jūsų įmonėje </w:t>
      </w:r>
    </w:p>
    <w:p w14:paraId="19D825E3" w14:textId="77777777" w:rsidR="00BE2F27" w:rsidRPr="00F27C8A" w:rsidRDefault="00307B36" w:rsidP="001471D9">
      <w:pPr>
        <w:pStyle w:val="ListParagraph"/>
        <w:numPr>
          <w:ilvl w:val="0"/>
          <w:numId w:val="11"/>
        </w:numPr>
        <w:spacing w:before="240" w:after="240"/>
        <w:ind w:left="714" w:hanging="357"/>
        <w:contextualSpacing w:val="0"/>
        <w:jc w:val="both"/>
        <w:rPr>
          <w:rFonts w:ascii="Times New Roman" w:hAnsi="Times New Roman" w:cs="Times New Roman"/>
        </w:rPr>
      </w:pPr>
      <w:r>
        <w:rPr>
          <w:rFonts w:ascii="Times New Roman" w:hAnsi="Times New Roman"/>
        </w:rPr>
        <w:t xml:space="preserve">Ar esate bandę gauti duomenų, kuriuos turi kita įmonė, pvz., siekdami sukurti naują paslaugą ar produktą arba patobulinti sprendimų priėmimo ar gamybos procesus? </w:t>
      </w:r>
    </w:p>
    <w:p w14:paraId="096F4B74" w14:textId="5BE590D4" w:rsidR="00CA2AB3" w:rsidRPr="00F07A1B" w:rsidRDefault="00BE2F27" w:rsidP="00F27C8A">
      <w:pPr>
        <w:pStyle w:val="ListParagraph"/>
        <w:spacing w:before="240" w:after="240"/>
        <w:ind w:left="714"/>
        <w:contextualSpacing w:val="0"/>
        <w:rPr>
          <w:rFonts w:ascii="Times New Roman" w:hAnsi="Times New Roman" w:cs="Times New Roman"/>
        </w:rPr>
      </w:pPr>
      <w:r>
        <w:rPr>
          <w:rFonts w:ascii="Times New Roman" w:hAnsi="Times New Roman"/>
        </w:rPr>
        <w:t>○ Taip</w:t>
      </w:r>
      <w:r>
        <w:rPr>
          <w:rFonts w:ascii="Times New Roman" w:hAnsi="Times New Roman" w:cs="Times New Roman"/>
        </w:rPr>
        <w:br/>
      </w:r>
      <w:r>
        <w:rPr>
          <w:rFonts w:ascii="Times New Roman" w:hAnsi="Times New Roman"/>
        </w:rPr>
        <w:t>○ Ne</w:t>
      </w:r>
    </w:p>
    <w:p w14:paraId="096F4B75" w14:textId="77777777" w:rsidR="00B378FF" w:rsidRPr="00F27C8A" w:rsidRDefault="00B378FF" w:rsidP="00020081">
      <w:pPr>
        <w:jc w:val="both"/>
        <w:rPr>
          <w:rFonts w:ascii="Times New Roman" w:hAnsi="Times New Roman" w:cs="Times New Roman"/>
          <w:b/>
        </w:rPr>
      </w:pPr>
      <w:r>
        <w:rPr>
          <w:rFonts w:ascii="Times New Roman" w:hAnsi="Times New Roman"/>
          <w:b/>
        </w:rPr>
        <w:t>Jei taip:</w:t>
      </w:r>
    </w:p>
    <w:p w14:paraId="64538BF8" w14:textId="77777777" w:rsidR="00BE2F27" w:rsidRPr="00F27C8A" w:rsidRDefault="00841A60" w:rsidP="001471D9">
      <w:pPr>
        <w:pStyle w:val="ListParagraph"/>
        <w:numPr>
          <w:ilvl w:val="0"/>
          <w:numId w:val="11"/>
        </w:numPr>
        <w:spacing w:before="240" w:after="240"/>
        <w:ind w:left="714" w:hanging="357"/>
        <w:contextualSpacing w:val="0"/>
        <w:jc w:val="both"/>
        <w:rPr>
          <w:rFonts w:ascii="Times New Roman" w:hAnsi="Times New Roman" w:cs="Times New Roman"/>
        </w:rPr>
      </w:pPr>
      <w:r>
        <w:rPr>
          <w:rFonts w:ascii="Times New Roman" w:hAnsi="Times New Roman"/>
        </w:rPr>
        <w:t xml:space="preserve">Ar teko susidurti su sunkumais mėginant gauti (su teise naudotis) duomenų iš kitos įmonės? </w:t>
      </w:r>
    </w:p>
    <w:p w14:paraId="3D701597" w14:textId="77777777" w:rsidR="00BE2F27" w:rsidRPr="00F07A1B" w:rsidRDefault="00BE2F27" w:rsidP="00F27C8A">
      <w:pPr>
        <w:pStyle w:val="ListParagraph"/>
        <w:spacing w:before="240" w:after="240"/>
        <w:contextualSpacing w:val="0"/>
        <w:rPr>
          <w:rFonts w:ascii="Times New Roman" w:hAnsi="Times New Roman" w:cs="Times New Roman"/>
        </w:rPr>
      </w:pPr>
      <w:r>
        <w:rPr>
          <w:rFonts w:ascii="Times New Roman" w:hAnsi="Times New Roman"/>
        </w:rPr>
        <w:t>○ Taip</w:t>
      </w:r>
      <w:r>
        <w:rPr>
          <w:rFonts w:ascii="Times New Roman" w:hAnsi="Times New Roman" w:cs="Times New Roman"/>
        </w:rPr>
        <w:br/>
      </w:r>
      <w:r>
        <w:rPr>
          <w:rFonts w:ascii="Times New Roman" w:hAnsi="Times New Roman"/>
        </w:rPr>
        <w:t>○ Ne</w:t>
      </w:r>
    </w:p>
    <w:p w14:paraId="79858F1B" w14:textId="77777777" w:rsidR="00BE2F27" w:rsidRPr="00F27C8A" w:rsidRDefault="00982FAB" w:rsidP="001471D9">
      <w:pPr>
        <w:pStyle w:val="ListParagraph"/>
        <w:numPr>
          <w:ilvl w:val="0"/>
          <w:numId w:val="11"/>
        </w:numPr>
        <w:spacing w:before="240" w:after="240"/>
        <w:ind w:left="714" w:hanging="357"/>
        <w:contextualSpacing w:val="0"/>
        <w:jc w:val="both"/>
        <w:rPr>
          <w:rFonts w:ascii="Times New Roman" w:hAnsi="Times New Roman" w:cs="Times New Roman"/>
        </w:rPr>
      </w:pPr>
      <w:r>
        <w:rPr>
          <w:rFonts w:ascii="Times New Roman" w:hAnsi="Times New Roman"/>
        </w:rPr>
        <w:t xml:space="preserve">Ar siekiant gauti prieigą prie tokių duomenų teko susidurti su praktika, kuri, jūsų nuomone, buvo nesąžininga arba nepagrįsta (pvz., nepagrįstai dideli licencijavimo mokesčiai, nenumatytas sutarties nutraukimas)? </w:t>
      </w:r>
    </w:p>
    <w:p w14:paraId="2030E6BE" w14:textId="77777777" w:rsidR="00BE2F27" w:rsidRPr="00F07A1B" w:rsidRDefault="00BE2F27" w:rsidP="00F27C8A">
      <w:pPr>
        <w:pStyle w:val="ListParagraph"/>
        <w:spacing w:before="240" w:after="240"/>
        <w:contextualSpacing w:val="0"/>
        <w:rPr>
          <w:rFonts w:ascii="Times New Roman" w:hAnsi="Times New Roman" w:cs="Times New Roman"/>
        </w:rPr>
      </w:pPr>
      <w:r>
        <w:rPr>
          <w:rFonts w:ascii="Times New Roman" w:hAnsi="Times New Roman"/>
        </w:rPr>
        <w:t>○ Taip</w:t>
      </w:r>
      <w:r>
        <w:rPr>
          <w:rFonts w:ascii="Times New Roman" w:hAnsi="Times New Roman" w:cs="Times New Roman"/>
        </w:rPr>
        <w:br/>
      </w:r>
      <w:r>
        <w:rPr>
          <w:rFonts w:ascii="Times New Roman" w:hAnsi="Times New Roman"/>
        </w:rPr>
        <w:t>○ Ne</w:t>
      </w:r>
    </w:p>
    <w:p w14:paraId="096F4B78" w14:textId="4448ED3F" w:rsidR="00CA2AB3" w:rsidRPr="00F27C8A" w:rsidRDefault="00B378FF" w:rsidP="001471D9">
      <w:pPr>
        <w:pStyle w:val="ListParagraph"/>
        <w:numPr>
          <w:ilvl w:val="0"/>
          <w:numId w:val="11"/>
        </w:numPr>
        <w:spacing w:before="240" w:after="240"/>
        <w:ind w:left="714" w:hanging="357"/>
        <w:contextualSpacing w:val="0"/>
        <w:jc w:val="both"/>
        <w:rPr>
          <w:rFonts w:ascii="Times New Roman" w:hAnsi="Times New Roman" w:cs="Times New Roman"/>
        </w:rPr>
      </w:pPr>
      <w:r>
        <w:rPr>
          <w:rFonts w:ascii="Times New Roman" w:hAnsi="Times New Roman"/>
        </w:rPr>
        <w:t>Jei taip, koks buvo tokių sunkumų / praktikos pobūdis? Prašome paaiškinti:</w:t>
      </w:r>
    </w:p>
    <w:p w14:paraId="0D732717" w14:textId="69A9EA80" w:rsidR="00F07A1B" w:rsidRDefault="00F07A1B" w:rsidP="00F07A1B">
      <w:pPr>
        <w:pStyle w:val="ListParagraph"/>
        <w:rPr>
          <w:rFonts w:ascii="Times New Roman" w:hAnsi="Times New Roman" w:cs="Times New Roman"/>
        </w:rPr>
      </w:pPr>
    </w:p>
    <w:p w14:paraId="36960E50" w14:textId="35AFD66D" w:rsidR="00AF4E8F" w:rsidRDefault="00AF4E8F" w:rsidP="00F07A1B">
      <w:pPr>
        <w:pStyle w:val="ListParagraph"/>
        <w:rPr>
          <w:rFonts w:ascii="Times New Roman" w:hAnsi="Times New Roman" w:cs="Times New Roman"/>
        </w:rPr>
      </w:pPr>
    </w:p>
    <w:p w14:paraId="35C1D263" w14:textId="67B1020B" w:rsidR="00AF4E8F" w:rsidRDefault="00AF4E8F" w:rsidP="00F07A1B">
      <w:pPr>
        <w:pStyle w:val="ListParagraph"/>
        <w:rPr>
          <w:rFonts w:ascii="Times New Roman" w:hAnsi="Times New Roman" w:cs="Times New Roman"/>
        </w:rPr>
      </w:pPr>
    </w:p>
    <w:p w14:paraId="0CA85749" w14:textId="77CE1F4A" w:rsidR="00AF4E8F" w:rsidRDefault="00AF4E8F" w:rsidP="00F07A1B">
      <w:pPr>
        <w:pStyle w:val="ListParagraph"/>
        <w:rPr>
          <w:rFonts w:ascii="Times New Roman" w:hAnsi="Times New Roman" w:cs="Times New Roman"/>
          <w:b/>
        </w:rPr>
      </w:pPr>
    </w:p>
    <w:p w14:paraId="3993567D" w14:textId="6469D5F2" w:rsidR="006A25DE" w:rsidRDefault="006A25DE" w:rsidP="00F07A1B">
      <w:pPr>
        <w:pStyle w:val="ListParagraph"/>
        <w:rPr>
          <w:rFonts w:ascii="Times New Roman" w:hAnsi="Times New Roman" w:cs="Times New Roman"/>
          <w:b/>
        </w:rPr>
      </w:pPr>
    </w:p>
    <w:p w14:paraId="4B418B44" w14:textId="77777777" w:rsidR="006A25DE" w:rsidRPr="00F07A1B" w:rsidRDefault="006A25DE" w:rsidP="00F07A1B">
      <w:pPr>
        <w:pStyle w:val="ListParagraph"/>
        <w:rPr>
          <w:rFonts w:ascii="Times New Roman" w:hAnsi="Times New Roman" w:cs="Times New Roman"/>
          <w:b/>
        </w:rPr>
      </w:pPr>
    </w:p>
    <w:p w14:paraId="096F4B79" w14:textId="50ACBA47" w:rsidR="00CA2AB3" w:rsidRPr="00F27C8A" w:rsidRDefault="00B378FF" w:rsidP="00F07A1B">
      <w:pPr>
        <w:pStyle w:val="ListParagraph"/>
        <w:rPr>
          <w:rFonts w:ascii="Times New Roman" w:hAnsi="Times New Roman" w:cs="Times New Roman"/>
          <w:b/>
        </w:rPr>
      </w:pPr>
      <w:r>
        <w:rPr>
          <w:rFonts w:ascii="Times New Roman" w:hAnsi="Times New Roman"/>
          <w:b/>
        </w:rPr>
        <w:t>Jei ne:</w:t>
      </w:r>
    </w:p>
    <w:p w14:paraId="096F4B7A" w14:textId="77777777" w:rsidR="00B378FF" w:rsidRPr="00F27C8A" w:rsidRDefault="003C0B06" w:rsidP="001471D9">
      <w:pPr>
        <w:pStyle w:val="ListParagraph"/>
        <w:numPr>
          <w:ilvl w:val="0"/>
          <w:numId w:val="11"/>
        </w:numPr>
        <w:spacing w:before="240" w:after="240"/>
        <w:ind w:left="714" w:hanging="357"/>
        <w:contextualSpacing w:val="0"/>
        <w:jc w:val="both"/>
        <w:rPr>
          <w:rFonts w:ascii="Times New Roman" w:hAnsi="Times New Roman" w:cs="Times New Roman"/>
        </w:rPr>
      </w:pPr>
      <w:r>
        <w:rPr>
          <w:rFonts w:ascii="Times New Roman" w:hAnsi="Times New Roman"/>
        </w:rPr>
        <w:t>Kodėl jūsų įmonė nesinaudoja kitų įmonių turimais duomenimis? (galimi keli variantai)</w:t>
      </w:r>
    </w:p>
    <w:p w14:paraId="096F4B7B" w14:textId="6DAA1B48" w:rsidR="00732CFA" w:rsidRPr="00F27C8A" w:rsidRDefault="00C1297B" w:rsidP="001471D9">
      <w:pPr>
        <w:pStyle w:val="ListParagraph"/>
        <w:numPr>
          <w:ilvl w:val="1"/>
          <w:numId w:val="11"/>
        </w:numPr>
        <w:spacing w:before="240" w:after="240"/>
        <w:ind w:hanging="357"/>
        <w:contextualSpacing w:val="0"/>
        <w:jc w:val="both"/>
        <w:rPr>
          <w:rFonts w:ascii="Times New Roman" w:hAnsi="Times New Roman" w:cs="Times New Roman"/>
        </w:rPr>
      </w:pPr>
      <w:r>
        <w:rPr>
          <w:rFonts w:ascii="Times New Roman" w:hAnsi="Times New Roman"/>
        </w:rPr>
        <w:t>Pagal savo įmonės verslo modelį iš išorės gautais duomenimis nesinaudojame / visus reikiamus duomenis generuojame įmonės viduje;</w:t>
      </w:r>
    </w:p>
    <w:p w14:paraId="3DF83B36" w14:textId="19B4E6A0" w:rsidR="00B75D6F" w:rsidRPr="00F27C8A" w:rsidRDefault="00B75D6F" w:rsidP="001471D9">
      <w:pPr>
        <w:pStyle w:val="ListParagraph"/>
        <w:numPr>
          <w:ilvl w:val="1"/>
          <w:numId w:val="11"/>
        </w:numPr>
        <w:spacing w:before="240" w:after="240"/>
        <w:ind w:hanging="357"/>
        <w:contextualSpacing w:val="0"/>
        <w:jc w:val="both"/>
        <w:rPr>
          <w:rFonts w:ascii="Times New Roman" w:hAnsi="Times New Roman" w:cs="Times New Roman"/>
        </w:rPr>
      </w:pPr>
      <w:r>
        <w:rPr>
          <w:rFonts w:ascii="Times New Roman" w:hAnsi="Times New Roman"/>
        </w:rPr>
        <w:lastRenderedPageBreak/>
        <w:t xml:space="preserve">Mes nežinome tokių įmonių, kurios turėtų mums reikalingų duomenų; </w:t>
      </w:r>
    </w:p>
    <w:p w14:paraId="096F4B7C" w14:textId="7EAC650A" w:rsidR="00C1297B" w:rsidRPr="00F27C8A" w:rsidRDefault="00732CFA" w:rsidP="001471D9">
      <w:pPr>
        <w:pStyle w:val="ListParagraph"/>
        <w:numPr>
          <w:ilvl w:val="1"/>
          <w:numId w:val="11"/>
        </w:numPr>
        <w:spacing w:before="240" w:after="240"/>
        <w:ind w:hanging="357"/>
        <w:contextualSpacing w:val="0"/>
        <w:jc w:val="both"/>
        <w:rPr>
          <w:rFonts w:ascii="Times New Roman" w:hAnsi="Times New Roman" w:cs="Times New Roman"/>
        </w:rPr>
      </w:pPr>
      <w:r>
        <w:rPr>
          <w:rFonts w:ascii="Times New Roman" w:hAnsi="Times New Roman"/>
        </w:rPr>
        <w:t xml:space="preserve">Mes neturime reikiamos kompetencijos ar techninių pajėgumų atlikti duomenų analizę; </w:t>
      </w:r>
    </w:p>
    <w:p w14:paraId="096F4B7D" w14:textId="53BFAD99" w:rsidR="00732CFA" w:rsidRPr="00F27C8A" w:rsidRDefault="003C0B06" w:rsidP="001471D9">
      <w:pPr>
        <w:pStyle w:val="ListParagraph"/>
        <w:numPr>
          <w:ilvl w:val="1"/>
          <w:numId w:val="11"/>
        </w:numPr>
        <w:spacing w:before="240" w:after="240"/>
        <w:ind w:hanging="357"/>
        <w:contextualSpacing w:val="0"/>
        <w:jc w:val="both"/>
        <w:rPr>
          <w:rFonts w:ascii="Times New Roman" w:hAnsi="Times New Roman" w:cs="Times New Roman"/>
        </w:rPr>
      </w:pPr>
      <w:r>
        <w:rPr>
          <w:rFonts w:ascii="Times New Roman" w:hAnsi="Times New Roman"/>
        </w:rPr>
        <w:t>Duomenų, kurių mums reikia, kitos įmonės neteikia;</w:t>
      </w:r>
    </w:p>
    <w:p w14:paraId="096F4B7E" w14:textId="77777777" w:rsidR="003C0B06" w:rsidRPr="00F27C8A" w:rsidRDefault="00732CFA" w:rsidP="001471D9">
      <w:pPr>
        <w:pStyle w:val="ListParagraph"/>
        <w:numPr>
          <w:ilvl w:val="1"/>
          <w:numId w:val="11"/>
        </w:numPr>
        <w:spacing w:before="240" w:after="240"/>
        <w:ind w:hanging="357"/>
        <w:contextualSpacing w:val="0"/>
        <w:jc w:val="both"/>
        <w:rPr>
          <w:rFonts w:ascii="Times New Roman" w:hAnsi="Times New Roman" w:cs="Times New Roman"/>
        </w:rPr>
      </w:pPr>
      <w:r>
        <w:rPr>
          <w:rFonts w:ascii="Times New Roman" w:hAnsi="Times New Roman"/>
        </w:rPr>
        <w:t>Duomenis mes generuojame įmonės viduje;</w:t>
      </w:r>
    </w:p>
    <w:p w14:paraId="096F4B7F" w14:textId="2AE9433B" w:rsidR="003C0B06" w:rsidRPr="00F27C8A" w:rsidRDefault="00297AD0" w:rsidP="008D257A">
      <w:pPr>
        <w:pStyle w:val="ListParagraph"/>
        <w:numPr>
          <w:ilvl w:val="1"/>
          <w:numId w:val="11"/>
        </w:numPr>
        <w:spacing w:before="240" w:after="240"/>
        <w:ind w:hanging="357"/>
        <w:contextualSpacing w:val="0"/>
        <w:jc w:val="both"/>
        <w:rPr>
          <w:rFonts w:ascii="Times New Roman" w:hAnsi="Times New Roman" w:cs="Times New Roman"/>
        </w:rPr>
      </w:pPr>
      <w:r>
        <w:rPr>
          <w:rFonts w:ascii="Times New Roman" w:hAnsi="Times New Roman"/>
        </w:rPr>
        <w:t xml:space="preserve">Priežastys yra susijusios su duomenų arba IT sistemos saugumu; </w:t>
      </w:r>
    </w:p>
    <w:p w14:paraId="573FD4C2" w14:textId="2C494D99" w:rsidR="00297AD0" w:rsidRPr="00F27C8A" w:rsidRDefault="00297AD0" w:rsidP="001471D9">
      <w:pPr>
        <w:pStyle w:val="ListParagraph"/>
        <w:numPr>
          <w:ilvl w:val="1"/>
          <w:numId w:val="11"/>
        </w:numPr>
        <w:spacing w:before="240" w:after="240"/>
        <w:ind w:hanging="357"/>
        <w:contextualSpacing w:val="0"/>
        <w:jc w:val="both"/>
        <w:rPr>
          <w:rFonts w:ascii="Times New Roman" w:hAnsi="Times New Roman" w:cs="Times New Roman"/>
        </w:rPr>
      </w:pPr>
      <w:r>
        <w:rPr>
          <w:rFonts w:ascii="Times New Roman" w:hAnsi="Times New Roman"/>
        </w:rPr>
        <w:t xml:space="preserve">Baiminamės atsakomybės, kuri gali grėsti dėl naudojimosi gautais duomenimis; </w:t>
      </w:r>
    </w:p>
    <w:p w14:paraId="096F4B80" w14:textId="77777777" w:rsidR="003C0B06" w:rsidRPr="00F27C8A" w:rsidRDefault="00D7790B" w:rsidP="001471D9">
      <w:pPr>
        <w:pStyle w:val="ListParagraph"/>
        <w:numPr>
          <w:ilvl w:val="1"/>
          <w:numId w:val="11"/>
        </w:numPr>
        <w:spacing w:before="240" w:after="240"/>
        <w:ind w:hanging="357"/>
        <w:contextualSpacing w:val="0"/>
        <w:jc w:val="both"/>
        <w:rPr>
          <w:rFonts w:ascii="Times New Roman" w:hAnsi="Times New Roman" w:cs="Times New Roman"/>
        </w:rPr>
      </w:pPr>
      <w:r>
        <w:rPr>
          <w:rFonts w:ascii="Times New Roman" w:hAnsi="Times New Roman"/>
        </w:rPr>
        <w:t xml:space="preserve">Sąnaudos (įskaitant atitinkamų sutarčių rengimo sąnaudas), kurių nėra galimybės susigrąžinti. </w:t>
      </w:r>
    </w:p>
    <w:p w14:paraId="096F4B81" w14:textId="27020219" w:rsidR="00214AC9" w:rsidRPr="00F27C8A" w:rsidRDefault="00214AC9" w:rsidP="007101DF">
      <w:pPr>
        <w:spacing w:before="240" w:after="240"/>
        <w:jc w:val="both"/>
        <w:rPr>
          <w:rFonts w:ascii="Times New Roman" w:hAnsi="Times New Roman" w:cs="Times New Roman"/>
        </w:rPr>
      </w:pPr>
    </w:p>
    <w:p w14:paraId="096F4B83" w14:textId="151E399B" w:rsidR="00CA2AB3" w:rsidRPr="00F27C8A" w:rsidRDefault="00CA2AB3" w:rsidP="00020081">
      <w:pPr>
        <w:jc w:val="both"/>
        <w:rPr>
          <w:rFonts w:ascii="Times New Roman" w:hAnsi="Times New Roman" w:cs="Times New Roman"/>
          <w:u w:val="single"/>
        </w:rPr>
      </w:pPr>
      <w:r>
        <w:rPr>
          <w:rFonts w:ascii="Times New Roman" w:hAnsi="Times New Roman"/>
          <w:u w:val="single"/>
        </w:rPr>
        <w:t>2 DALIS. Pastabos dėl sąžiningumo užtikrinimo principų, taikytinų daiktų interneto objektams ir tų objektų generuojamiems ne asmens duomenims</w:t>
      </w:r>
    </w:p>
    <w:p w14:paraId="096F4B85" w14:textId="50451496" w:rsidR="00664962" w:rsidRPr="00F27C8A" w:rsidRDefault="007101DF" w:rsidP="00664962">
      <w:pPr>
        <w:jc w:val="both"/>
        <w:rPr>
          <w:rFonts w:ascii="Times New Roman" w:hAnsi="Times New Roman" w:cs="Times New Roman"/>
        </w:rPr>
      </w:pPr>
      <w:r>
        <w:rPr>
          <w:rFonts w:ascii="Times New Roman" w:hAnsi="Times New Roman"/>
        </w:rPr>
        <w:t>Daiktų interneto objektas yra prietaisas, kuriuo duomenis galima siųsti internetu, pvz., gamintojui, mainais į paslaugą ar kitą atlygį. 2018 m. balandžio mėn. dokumente Komisija išvardijo šiuos principus ir ragina įmones atitinkamose sutartyse:</w:t>
      </w:r>
    </w:p>
    <w:p w14:paraId="096F4B86" w14:textId="1DF4BD41" w:rsidR="00664962" w:rsidRPr="00F27C8A" w:rsidRDefault="00664962" w:rsidP="00664962">
      <w:pPr>
        <w:pStyle w:val="ListParagraph"/>
        <w:numPr>
          <w:ilvl w:val="0"/>
          <w:numId w:val="3"/>
        </w:numPr>
        <w:jc w:val="both"/>
        <w:rPr>
          <w:rFonts w:ascii="Times New Roman" w:hAnsi="Times New Roman" w:cs="Times New Roman"/>
          <w:u w:val="single"/>
        </w:rPr>
      </w:pPr>
      <w:r>
        <w:rPr>
          <w:rFonts w:ascii="Times New Roman" w:hAnsi="Times New Roman"/>
        </w:rPr>
        <w:t xml:space="preserve">užtikrinti skaidrumą – kas gali gauti prieigą prie atitinkamų duomenų ir kam jie naudojami; </w:t>
      </w:r>
    </w:p>
    <w:p w14:paraId="096F4B87" w14:textId="77777777" w:rsidR="00664962" w:rsidRPr="00F27C8A" w:rsidRDefault="00664962" w:rsidP="00664962">
      <w:pPr>
        <w:pStyle w:val="ListParagraph"/>
        <w:numPr>
          <w:ilvl w:val="0"/>
          <w:numId w:val="3"/>
        </w:numPr>
        <w:jc w:val="both"/>
        <w:rPr>
          <w:rFonts w:ascii="Times New Roman" w:hAnsi="Times New Roman" w:cs="Times New Roman"/>
          <w:u w:val="single"/>
        </w:rPr>
      </w:pPr>
      <w:r>
        <w:rPr>
          <w:rFonts w:ascii="Times New Roman" w:hAnsi="Times New Roman"/>
        </w:rPr>
        <w:t>kuo labiau pripažinti kiekvienos iš šalių sukuriamą vertę (kai renkami duomenys, kai pateikiant duomenis siūloma ir kitų paslaugų ir t. t.);</w:t>
      </w:r>
    </w:p>
    <w:p w14:paraId="096F4B88" w14:textId="4E3DF6DA" w:rsidR="00664962" w:rsidRPr="00F27C8A" w:rsidRDefault="00664962" w:rsidP="00664962">
      <w:pPr>
        <w:pStyle w:val="ListParagraph"/>
        <w:numPr>
          <w:ilvl w:val="0"/>
          <w:numId w:val="3"/>
        </w:numPr>
        <w:jc w:val="both"/>
        <w:rPr>
          <w:rFonts w:ascii="Times New Roman" w:hAnsi="Times New Roman" w:cs="Times New Roman"/>
          <w:u w:val="single"/>
        </w:rPr>
      </w:pPr>
      <w:r>
        <w:rPr>
          <w:rFonts w:ascii="Times New Roman" w:hAnsi="Times New Roman"/>
        </w:rPr>
        <w:t>numatyti apsaugos priemones, skirtas įmonių komercinėms paslaptims ir kitam intelektinės nuosavybės turtui apsaugoti (pvz., išmaniųjų gamybos robotų stebėsena, siekiant suprasti gamybos praktiką, ar sustabdymo laikotarpiai, leidžiantys daryti įmonės ekonominės veiklos prognozes);</w:t>
      </w:r>
    </w:p>
    <w:p w14:paraId="096F4B89" w14:textId="48B2EF6F" w:rsidR="00664962" w:rsidRPr="00F27C8A" w:rsidRDefault="00664962" w:rsidP="00664962">
      <w:pPr>
        <w:pStyle w:val="ListParagraph"/>
        <w:numPr>
          <w:ilvl w:val="0"/>
          <w:numId w:val="3"/>
        </w:numPr>
        <w:jc w:val="both"/>
        <w:rPr>
          <w:rFonts w:ascii="Times New Roman" w:hAnsi="Times New Roman" w:cs="Times New Roman"/>
          <w:u w:val="single"/>
        </w:rPr>
      </w:pPr>
      <w:r>
        <w:rPr>
          <w:rFonts w:ascii="Times New Roman" w:hAnsi="Times New Roman"/>
        </w:rPr>
        <w:t xml:space="preserve">nesiekti iškreipti konkurencijos, o ypač – užkirsti įmonėms kelio sudarinėti sandorius su daugiau kaip vienu teikėju, pvz., dėl duomenų formatų (ar pan.), kuriais kiti gali naudotis tik patirdami papildomų sąnaudų. </w:t>
      </w:r>
    </w:p>
    <w:p w14:paraId="13984533" w14:textId="77777777" w:rsidR="00F27C8A" w:rsidRPr="00F27C8A" w:rsidRDefault="00F27C8A" w:rsidP="00F27C8A">
      <w:pPr>
        <w:jc w:val="both"/>
        <w:rPr>
          <w:rFonts w:ascii="Times New Roman" w:hAnsi="Times New Roman" w:cs="Times New Roman"/>
          <w:u w:val="single"/>
        </w:rPr>
      </w:pPr>
    </w:p>
    <w:p w14:paraId="28B21EF3" w14:textId="2B498516" w:rsidR="00BE2F27" w:rsidRPr="00F27C8A" w:rsidRDefault="007101DF" w:rsidP="001471D9">
      <w:pPr>
        <w:pStyle w:val="ListParagraph"/>
        <w:numPr>
          <w:ilvl w:val="0"/>
          <w:numId w:val="11"/>
        </w:numPr>
        <w:spacing w:before="240" w:after="240"/>
        <w:ind w:left="714" w:hanging="357"/>
        <w:contextualSpacing w:val="0"/>
        <w:jc w:val="both"/>
        <w:rPr>
          <w:rFonts w:ascii="Times New Roman" w:hAnsi="Times New Roman" w:cs="Times New Roman"/>
        </w:rPr>
      </w:pPr>
      <w:r>
        <w:rPr>
          <w:rFonts w:ascii="Times New Roman" w:hAnsi="Times New Roman"/>
        </w:rPr>
        <w:t xml:space="preserve">Ar jau naudojatės daiktų interneto prietaisu (pvz., pramoniniu robotu) arba netrukus planuojate pradėti juo naudotis? </w:t>
      </w:r>
    </w:p>
    <w:p w14:paraId="1F57EA4D" w14:textId="665D149B" w:rsidR="007101DF" w:rsidRPr="00F27C8A" w:rsidRDefault="00BE2F27" w:rsidP="00F27C8A">
      <w:pPr>
        <w:pStyle w:val="ListParagraph"/>
        <w:spacing w:before="240" w:after="240"/>
        <w:contextualSpacing w:val="0"/>
        <w:rPr>
          <w:rFonts w:ascii="Times New Roman" w:hAnsi="Times New Roman" w:cs="Times New Roman"/>
        </w:rPr>
      </w:pPr>
      <w:r>
        <w:rPr>
          <w:rFonts w:ascii="Times New Roman" w:hAnsi="Times New Roman"/>
        </w:rPr>
        <w:t>○ Taip</w:t>
      </w:r>
      <w:r>
        <w:rPr>
          <w:rFonts w:ascii="Times New Roman" w:hAnsi="Times New Roman" w:cs="Times New Roman"/>
        </w:rPr>
        <w:br/>
      </w:r>
      <w:r>
        <w:rPr>
          <w:rFonts w:ascii="Times New Roman" w:hAnsi="Times New Roman"/>
        </w:rPr>
        <w:t>○ Ne</w:t>
      </w:r>
    </w:p>
    <w:p w14:paraId="6E67CCBB" w14:textId="77777777" w:rsidR="00BE2F27" w:rsidRPr="00F27C8A" w:rsidRDefault="000419A9" w:rsidP="001471D9">
      <w:pPr>
        <w:pStyle w:val="ListParagraph"/>
        <w:numPr>
          <w:ilvl w:val="0"/>
          <w:numId w:val="11"/>
        </w:numPr>
        <w:spacing w:before="240" w:after="240"/>
        <w:ind w:left="714" w:hanging="357"/>
        <w:contextualSpacing w:val="0"/>
        <w:jc w:val="both"/>
        <w:rPr>
          <w:rFonts w:ascii="Times New Roman" w:hAnsi="Times New Roman" w:cs="Times New Roman"/>
        </w:rPr>
      </w:pPr>
      <w:r>
        <w:rPr>
          <w:rFonts w:ascii="Times New Roman" w:hAnsi="Times New Roman"/>
        </w:rPr>
        <w:t xml:space="preserve">Ar sutinkate, kad dėl daiktų interneto objektų ir tokių objektų generuojamų duomenų atsiranda naujų uždavinių, susijusių su rinkos sąžiningumu? </w:t>
      </w:r>
    </w:p>
    <w:p w14:paraId="096F4B8B" w14:textId="1BEC5A9F" w:rsidR="000B676B" w:rsidRPr="00F27C8A" w:rsidRDefault="00BE2F27" w:rsidP="00F27C8A">
      <w:pPr>
        <w:pStyle w:val="ListParagraph"/>
        <w:spacing w:before="240" w:after="240"/>
        <w:contextualSpacing w:val="0"/>
        <w:rPr>
          <w:rFonts w:ascii="Times New Roman" w:hAnsi="Times New Roman" w:cs="Times New Roman"/>
        </w:rPr>
      </w:pPr>
      <w:r>
        <w:rPr>
          <w:rFonts w:ascii="Times New Roman" w:hAnsi="Times New Roman"/>
        </w:rPr>
        <w:t>○ Taip</w:t>
      </w:r>
      <w:r>
        <w:rPr>
          <w:rFonts w:ascii="Times New Roman" w:hAnsi="Times New Roman" w:cs="Times New Roman"/>
        </w:rPr>
        <w:br/>
      </w:r>
      <w:r>
        <w:rPr>
          <w:rFonts w:ascii="Times New Roman" w:hAnsi="Times New Roman"/>
        </w:rPr>
        <w:t>○ Ne</w:t>
      </w:r>
    </w:p>
    <w:p w14:paraId="0CD10488" w14:textId="77777777" w:rsidR="00BE2F27" w:rsidRPr="00F27C8A" w:rsidRDefault="000B676B" w:rsidP="001471D9">
      <w:pPr>
        <w:pStyle w:val="ListParagraph"/>
        <w:numPr>
          <w:ilvl w:val="0"/>
          <w:numId w:val="11"/>
        </w:numPr>
        <w:spacing w:before="240" w:after="240"/>
        <w:ind w:left="714" w:hanging="357"/>
        <w:contextualSpacing w:val="0"/>
        <w:jc w:val="both"/>
        <w:rPr>
          <w:rFonts w:ascii="Times New Roman" w:hAnsi="Times New Roman" w:cs="Times New Roman"/>
        </w:rPr>
      </w:pPr>
      <w:r>
        <w:rPr>
          <w:rFonts w:ascii="Times New Roman" w:hAnsi="Times New Roman"/>
        </w:rPr>
        <w:lastRenderedPageBreak/>
        <w:t xml:space="preserve">Ar teisės nuostatomis (pvz., duomenų bazių ir komercinių paslapčių apsaugos, autorių teisių, konkurencijos teisės aktais) šiuo metu tinkamai sprendžiami šie uždaviniai? </w:t>
      </w:r>
    </w:p>
    <w:p w14:paraId="096F4B8C" w14:textId="555D5735" w:rsidR="00CA2AB3" w:rsidRPr="00F27C8A" w:rsidRDefault="00BE2F27" w:rsidP="00F27C8A">
      <w:pPr>
        <w:pStyle w:val="ListParagraph"/>
        <w:spacing w:before="240" w:after="240"/>
        <w:contextualSpacing w:val="0"/>
        <w:rPr>
          <w:rFonts w:ascii="Times New Roman" w:hAnsi="Times New Roman" w:cs="Times New Roman"/>
        </w:rPr>
      </w:pPr>
      <w:r>
        <w:rPr>
          <w:rFonts w:ascii="Times New Roman" w:hAnsi="Times New Roman"/>
        </w:rPr>
        <w:t>○ Taip</w:t>
      </w:r>
      <w:r>
        <w:rPr>
          <w:rFonts w:ascii="Times New Roman" w:hAnsi="Times New Roman" w:cs="Times New Roman"/>
        </w:rPr>
        <w:br/>
      </w:r>
      <w:r>
        <w:rPr>
          <w:rFonts w:ascii="Times New Roman" w:hAnsi="Times New Roman"/>
        </w:rPr>
        <w:t>○ Ne</w:t>
      </w:r>
    </w:p>
    <w:p w14:paraId="1E4EF962" w14:textId="77777777" w:rsidR="00BE2F27" w:rsidRPr="00F27C8A" w:rsidRDefault="000419A9" w:rsidP="001471D9">
      <w:pPr>
        <w:pStyle w:val="ListParagraph"/>
        <w:numPr>
          <w:ilvl w:val="0"/>
          <w:numId w:val="11"/>
        </w:numPr>
        <w:spacing w:before="240" w:after="240"/>
        <w:ind w:left="714" w:hanging="357"/>
        <w:contextualSpacing w:val="0"/>
        <w:jc w:val="both"/>
        <w:rPr>
          <w:rFonts w:ascii="Times New Roman" w:hAnsi="Times New Roman" w:cs="Times New Roman"/>
        </w:rPr>
      </w:pPr>
      <w:r>
        <w:rPr>
          <w:rFonts w:ascii="Times New Roman" w:hAnsi="Times New Roman"/>
        </w:rPr>
        <w:t xml:space="preserve">Ar principai (išvardyti pirmiau) padeda spręsti visus aktualius klausimus? </w:t>
      </w:r>
    </w:p>
    <w:p w14:paraId="096F4B8D" w14:textId="78E77719" w:rsidR="00CA2AB3" w:rsidRPr="00F27C8A" w:rsidRDefault="00BE2F27" w:rsidP="00F27C8A">
      <w:pPr>
        <w:pStyle w:val="ListParagraph"/>
        <w:spacing w:before="240" w:after="240"/>
        <w:contextualSpacing w:val="0"/>
        <w:rPr>
          <w:rFonts w:ascii="Times New Roman" w:hAnsi="Times New Roman" w:cs="Times New Roman"/>
        </w:rPr>
      </w:pPr>
      <w:r>
        <w:rPr>
          <w:rFonts w:ascii="Times New Roman" w:hAnsi="Times New Roman"/>
        </w:rPr>
        <w:t>○ Taip</w:t>
      </w:r>
      <w:r>
        <w:rPr>
          <w:rFonts w:ascii="Times New Roman" w:hAnsi="Times New Roman" w:cs="Times New Roman"/>
        </w:rPr>
        <w:br/>
      </w:r>
      <w:r>
        <w:rPr>
          <w:rFonts w:ascii="Times New Roman" w:hAnsi="Times New Roman"/>
        </w:rPr>
        <w:t>○ Ne</w:t>
      </w:r>
    </w:p>
    <w:p w14:paraId="096F4B8E" w14:textId="77777777" w:rsidR="00362C89" w:rsidRPr="00F07A1B" w:rsidRDefault="00362C89" w:rsidP="00362C89">
      <w:pPr>
        <w:jc w:val="both"/>
        <w:rPr>
          <w:rFonts w:ascii="Times New Roman" w:hAnsi="Times New Roman" w:cs="Times New Roman"/>
        </w:rPr>
      </w:pPr>
      <w:r>
        <w:rPr>
          <w:rFonts w:ascii="Times New Roman" w:hAnsi="Times New Roman"/>
        </w:rPr>
        <w:t xml:space="preserve">Jei ne: </w:t>
      </w:r>
    </w:p>
    <w:p w14:paraId="703D8AB0" w14:textId="31294597" w:rsidR="00F07A1B" w:rsidRDefault="00362C89" w:rsidP="001471D9">
      <w:pPr>
        <w:pStyle w:val="ListParagraph"/>
        <w:numPr>
          <w:ilvl w:val="0"/>
          <w:numId w:val="11"/>
        </w:numPr>
        <w:spacing w:before="240" w:after="240"/>
        <w:ind w:hanging="357"/>
        <w:contextualSpacing w:val="0"/>
        <w:jc w:val="both"/>
        <w:rPr>
          <w:rFonts w:ascii="Times New Roman" w:hAnsi="Times New Roman" w:cs="Times New Roman"/>
        </w:rPr>
      </w:pPr>
      <w:r>
        <w:rPr>
          <w:rFonts w:ascii="Times New Roman" w:hAnsi="Times New Roman"/>
        </w:rPr>
        <w:t>Kokius dar aspektus reikėtų įtraukti? Prašome paaiškinti:</w:t>
      </w:r>
    </w:p>
    <w:p w14:paraId="175F82EE" w14:textId="40A67A8F" w:rsidR="00AF4E8F" w:rsidRDefault="00AF4E8F" w:rsidP="00AF4E8F">
      <w:pPr>
        <w:spacing w:before="240" w:after="240"/>
        <w:jc w:val="both"/>
        <w:rPr>
          <w:rFonts w:ascii="Times New Roman" w:hAnsi="Times New Roman" w:cs="Times New Roman"/>
        </w:rPr>
      </w:pPr>
    </w:p>
    <w:p w14:paraId="4DB88901" w14:textId="496C71D1" w:rsidR="00AF4E8F" w:rsidRDefault="00AF4E8F" w:rsidP="00AF4E8F">
      <w:pPr>
        <w:spacing w:before="240" w:after="240"/>
        <w:jc w:val="both"/>
        <w:rPr>
          <w:rFonts w:ascii="Times New Roman" w:hAnsi="Times New Roman" w:cs="Times New Roman"/>
        </w:rPr>
      </w:pPr>
    </w:p>
    <w:p w14:paraId="60573B50" w14:textId="77777777" w:rsidR="00AF4E8F" w:rsidRDefault="00AF4E8F" w:rsidP="00AF4E8F">
      <w:pPr>
        <w:spacing w:before="240" w:after="240"/>
        <w:jc w:val="both"/>
        <w:rPr>
          <w:rFonts w:ascii="Times New Roman" w:hAnsi="Times New Roman" w:cs="Times New Roman"/>
        </w:rPr>
      </w:pPr>
    </w:p>
    <w:p w14:paraId="5768C6F7" w14:textId="69A5DF20" w:rsidR="00AF4E8F" w:rsidRDefault="00AF4E8F" w:rsidP="00AF4E8F">
      <w:pPr>
        <w:spacing w:before="240" w:after="240"/>
        <w:jc w:val="both"/>
        <w:rPr>
          <w:rFonts w:ascii="Times New Roman" w:hAnsi="Times New Roman" w:cs="Times New Roman"/>
        </w:rPr>
      </w:pPr>
    </w:p>
    <w:p w14:paraId="1B6DAFF6" w14:textId="5A0421F8" w:rsidR="00AF4E8F" w:rsidRDefault="00AF4E8F" w:rsidP="00AF4E8F">
      <w:pPr>
        <w:spacing w:before="240" w:after="240"/>
        <w:jc w:val="both"/>
        <w:rPr>
          <w:rFonts w:ascii="Times New Roman" w:hAnsi="Times New Roman" w:cs="Times New Roman"/>
        </w:rPr>
      </w:pPr>
    </w:p>
    <w:p w14:paraId="2CD6D9C0" w14:textId="0D0A4539" w:rsidR="00AF4E8F" w:rsidRPr="00AF4E8F" w:rsidRDefault="00AF4E8F" w:rsidP="00AF4E8F">
      <w:pPr>
        <w:spacing w:before="240" w:after="240"/>
        <w:jc w:val="both"/>
        <w:rPr>
          <w:rFonts w:ascii="Times New Roman" w:hAnsi="Times New Roman" w:cs="Times New Roman"/>
        </w:rPr>
      </w:pPr>
    </w:p>
    <w:p w14:paraId="61B72930" w14:textId="6CD8BD30" w:rsidR="00BE2F27" w:rsidRPr="00F27C8A" w:rsidRDefault="00402AE3" w:rsidP="00F07A1B">
      <w:pPr>
        <w:pStyle w:val="ListParagraph"/>
        <w:numPr>
          <w:ilvl w:val="0"/>
          <w:numId w:val="11"/>
        </w:numPr>
        <w:spacing w:before="240" w:after="240"/>
        <w:ind w:hanging="357"/>
        <w:contextualSpacing w:val="0"/>
        <w:jc w:val="both"/>
        <w:rPr>
          <w:rFonts w:ascii="Times New Roman" w:hAnsi="Times New Roman" w:cs="Times New Roman"/>
        </w:rPr>
      </w:pPr>
      <w:r>
        <w:rPr>
          <w:rFonts w:ascii="Times New Roman" w:hAnsi="Times New Roman"/>
        </w:rPr>
        <w:t xml:space="preserve">Kaip pagal svarbą vykdant pramoninę veiklą vertintumėte kiekvieną iš principų? </w:t>
      </w:r>
    </w:p>
    <w:tbl>
      <w:tblPr>
        <w:tblStyle w:val="TableGrid"/>
        <w:tblW w:w="0" w:type="auto"/>
        <w:tblInd w:w="363" w:type="dxa"/>
        <w:tblLook w:val="04A0" w:firstRow="1" w:lastRow="0" w:firstColumn="1" w:lastColumn="0" w:noHBand="0" w:noVBand="1"/>
      </w:tblPr>
      <w:tblGrid>
        <w:gridCol w:w="4281"/>
        <w:gridCol w:w="1134"/>
        <w:gridCol w:w="1134"/>
        <w:gridCol w:w="1134"/>
        <w:gridCol w:w="1242"/>
      </w:tblGrid>
      <w:tr w:rsidR="009F087D" w:rsidRPr="00F27C8A" w14:paraId="5A7ED96E" w14:textId="77777777" w:rsidTr="00F27C8A">
        <w:trPr>
          <w:trHeight w:val="701"/>
        </w:trPr>
        <w:tc>
          <w:tcPr>
            <w:tcW w:w="4281" w:type="dxa"/>
          </w:tcPr>
          <w:p w14:paraId="100EED79" w14:textId="77777777" w:rsidR="00F07A1B" w:rsidRPr="00F27C8A" w:rsidRDefault="00F07A1B" w:rsidP="00F07A1B">
            <w:pPr>
              <w:spacing w:before="240" w:after="240"/>
              <w:jc w:val="both"/>
              <w:rPr>
                <w:rFonts w:ascii="Times New Roman" w:hAnsi="Times New Roman" w:cs="Times New Roman"/>
              </w:rPr>
            </w:pPr>
          </w:p>
        </w:tc>
        <w:tc>
          <w:tcPr>
            <w:tcW w:w="1134" w:type="dxa"/>
          </w:tcPr>
          <w:p w14:paraId="27B8EB70" w14:textId="6B22FB5D" w:rsidR="00F07A1B" w:rsidRPr="00F07A1B" w:rsidRDefault="00F07A1B" w:rsidP="00F07A1B">
            <w:pPr>
              <w:spacing w:before="240" w:after="240"/>
              <w:jc w:val="both"/>
              <w:rPr>
                <w:rFonts w:ascii="Times New Roman" w:hAnsi="Times New Roman" w:cs="Times New Roman"/>
              </w:rPr>
            </w:pPr>
            <w:r>
              <w:rPr>
                <w:rFonts w:ascii="Times New Roman" w:hAnsi="Times New Roman"/>
              </w:rPr>
              <w:t>Labai svarbu</w:t>
            </w:r>
          </w:p>
        </w:tc>
        <w:tc>
          <w:tcPr>
            <w:tcW w:w="1134" w:type="dxa"/>
          </w:tcPr>
          <w:p w14:paraId="7C2CEF2A" w14:textId="3D982A90" w:rsidR="00F07A1B" w:rsidRPr="00F07A1B" w:rsidRDefault="00F07A1B" w:rsidP="00F07A1B">
            <w:pPr>
              <w:spacing w:before="240" w:after="240"/>
              <w:jc w:val="both"/>
              <w:rPr>
                <w:rFonts w:ascii="Times New Roman" w:hAnsi="Times New Roman" w:cs="Times New Roman"/>
              </w:rPr>
            </w:pPr>
            <w:r>
              <w:rPr>
                <w:rFonts w:ascii="Times New Roman" w:hAnsi="Times New Roman"/>
              </w:rPr>
              <w:t>Gana svarbu</w:t>
            </w:r>
          </w:p>
        </w:tc>
        <w:tc>
          <w:tcPr>
            <w:tcW w:w="1134" w:type="dxa"/>
          </w:tcPr>
          <w:p w14:paraId="62E02966" w14:textId="61CAFE1F" w:rsidR="00F07A1B" w:rsidRPr="00F07A1B" w:rsidRDefault="00F07A1B" w:rsidP="00F07A1B">
            <w:pPr>
              <w:spacing w:before="240" w:after="240"/>
              <w:jc w:val="both"/>
              <w:rPr>
                <w:rFonts w:ascii="Times New Roman" w:hAnsi="Times New Roman" w:cs="Times New Roman"/>
              </w:rPr>
            </w:pPr>
            <w:r>
              <w:rPr>
                <w:rFonts w:ascii="Times New Roman" w:hAnsi="Times New Roman"/>
              </w:rPr>
              <w:t>Mažiau svarbu</w:t>
            </w:r>
          </w:p>
        </w:tc>
        <w:tc>
          <w:tcPr>
            <w:tcW w:w="1242" w:type="dxa"/>
          </w:tcPr>
          <w:p w14:paraId="4CA113BB" w14:textId="5E68AF72" w:rsidR="00F07A1B" w:rsidRPr="00F07A1B" w:rsidRDefault="00F07A1B" w:rsidP="00F07A1B">
            <w:pPr>
              <w:spacing w:before="240" w:after="240"/>
              <w:jc w:val="both"/>
              <w:rPr>
                <w:rFonts w:ascii="Times New Roman" w:hAnsi="Times New Roman" w:cs="Times New Roman"/>
              </w:rPr>
            </w:pPr>
            <w:r>
              <w:rPr>
                <w:rFonts w:ascii="Times New Roman" w:hAnsi="Times New Roman"/>
              </w:rPr>
              <w:t>Nesvarbu</w:t>
            </w:r>
          </w:p>
        </w:tc>
      </w:tr>
      <w:tr w:rsidR="009F087D" w:rsidRPr="00F27C8A" w14:paraId="47C2380B" w14:textId="77777777" w:rsidTr="00F27C8A">
        <w:tc>
          <w:tcPr>
            <w:tcW w:w="4281" w:type="dxa"/>
          </w:tcPr>
          <w:p w14:paraId="4F682B66" w14:textId="2F871E12" w:rsidR="00F07A1B" w:rsidRPr="00F07A1B" w:rsidRDefault="00F07A1B" w:rsidP="00F07A1B">
            <w:pPr>
              <w:spacing w:before="240" w:after="240"/>
              <w:jc w:val="both"/>
              <w:rPr>
                <w:rFonts w:ascii="Times New Roman" w:hAnsi="Times New Roman" w:cs="Times New Roman"/>
              </w:rPr>
            </w:pPr>
            <w:r>
              <w:rPr>
                <w:rFonts w:ascii="Times New Roman" w:hAnsi="Times New Roman"/>
              </w:rPr>
              <w:t>a. užtikrinti skaidrumą – kas gali gauti prieigą prie atitinkamų duomenų ir kam jie naudojami;</w:t>
            </w:r>
          </w:p>
        </w:tc>
        <w:tc>
          <w:tcPr>
            <w:tcW w:w="1134" w:type="dxa"/>
          </w:tcPr>
          <w:p w14:paraId="6A55CB1C" w14:textId="77777777" w:rsidR="00F07A1B" w:rsidRPr="00F27C8A" w:rsidRDefault="00F07A1B" w:rsidP="00F07A1B">
            <w:pPr>
              <w:spacing w:before="240" w:after="240"/>
              <w:jc w:val="both"/>
              <w:rPr>
                <w:rFonts w:ascii="Times New Roman" w:hAnsi="Times New Roman" w:cs="Times New Roman"/>
              </w:rPr>
            </w:pPr>
          </w:p>
        </w:tc>
        <w:tc>
          <w:tcPr>
            <w:tcW w:w="1134" w:type="dxa"/>
          </w:tcPr>
          <w:p w14:paraId="785DCFF4" w14:textId="77777777" w:rsidR="00F07A1B" w:rsidRPr="00F27C8A" w:rsidRDefault="00F07A1B" w:rsidP="00F07A1B">
            <w:pPr>
              <w:spacing w:before="240" w:after="240"/>
              <w:jc w:val="both"/>
              <w:rPr>
                <w:rFonts w:ascii="Times New Roman" w:hAnsi="Times New Roman" w:cs="Times New Roman"/>
              </w:rPr>
            </w:pPr>
          </w:p>
        </w:tc>
        <w:tc>
          <w:tcPr>
            <w:tcW w:w="1134" w:type="dxa"/>
          </w:tcPr>
          <w:p w14:paraId="41FFBB3A" w14:textId="77777777" w:rsidR="00F07A1B" w:rsidRPr="00F27C8A" w:rsidRDefault="00F07A1B" w:rsidP="00F07A1B">
            <w:pPr>
              <w:spacing w:before="240" w:after="240"/>
              <w:jc w:val="both"/>
              <w:rPr>
                <w:rFonts w:ascii="Times New Roman" w:hAnsi="Times New Roman" w:cs="Times New Roman"/>
              </w:rPr>
            </w:pPr>
          </w:p>
        </w:tc>
        <w:tc>
          <w:tcPr>
            <w:tcW w:w="1242" w:type="dxa"/>
          </w:tcPr>
          <w:p w14:paraId="0ABE7604" w14:textId="77777777" w:rsidR="00F07A1B" w:rsidRPr="00F27C8A" w:rsidRDefault="00F07A1B" w:rsidP="00F07A1B">
            <w:pPr>
              <w:spacing w:before="240" w:after="240"/>
              <w:jc w:val="both"/>
              <w:rPr>
                <w:rFonts w:ascii="Times New Roman" w:hAnsi="Times New Roman" w:cs="Times New Roman"/>
              </w:rPr>
            </w:pPr>
          </w:p>
        </w:tc>
      </w:tr>
      <w:tr w:rsidR="009F087D" w:rsidRPr="00F27C8A" w14:paraId="28B702CE" w14:textId="77777777" w:rsidTr="00F27C8A">
        <w:tc>
          <w:tcPr>
            <w:tcW w:w="4281" w:type="dxa"/>
          </w:tcPr>
          <w:p w14:paraId="00ECC781" w14:textId="562A700D" w:rsidR="00F07A1B" w:rsidRPr="00F07A1B" w:rsidRDefault="00F07A1B" w:rsidP="00F07A1B">
            <w:pPr>
              <w:spacing w:before="240" w:after="240"/>
              <w:jc w:val="both"/>
              <w:rPr>
                <w:rFonts w:ascii="Times New Roman" w:hAnsi="Times New Roman" w:cs="Times New Roman"/>
              </w:rPr>
            </w:pPr>
            <w:r>
              <w:rPr>
                <w:rFonts w:ascii="Times New Roman" w:hAnsi="Times New Roman"/>
              </w:rPr>
              <w:t>b. kuo labiau pripažinti kiekvienos iš šalių sukuriamą vertę;</w:t>
            </w:r>
          </w:p>
        </w:tc>
        <w:tc>
          <w:tcPr>
            <w:tcW w:w="1134" w:type="dxa"/>
          </w:tcPr>
          <w:p w14:paraId="16AE5A9C" w14:textId="77777777" w:rsidR="00F07A1B" w:rsidRPr="00F27C8A" w:rsidRDefault="00F07A1B" w:rsidP="00F07A1B">
            <w:pPr>
              <w:spacing w:before="240" w:after="240"/>
              <w:jc w:val="both"/>
              <w:rPr>
                <w:rFonts w:ascii="Times New Roman" w:hAnsi="Times New Roman" w:cs="Times New Roman"/>
              </w:rPr>
            </w:pPr>
          </w:p>
        </w:tc>
        <w:tc>
          <w:tcPr>
            <w:tcW w:w="1134" w:type="dxa"/>
          </w:tcPr>
          <w:p w14:paraId="39D6D5BC" w14:textId="77777777" w:rsidR="00F07A1B" w:rsidRPr="00F27C8A" w:rsidRDefault="00F07A1B" w:rsidP="00F07A1B">
            <w:pPr>
              <w:spacing w:before="240" w:after="240"/>
              <w:jc w:val="both"/>
              <w:rPr>
                <w:rFonts w:ascii="Times New Roman" w:hAnsi="Times New Roman" w:cs="Times New Roman"/>
              </w:rPr>
            </w:pPr>
          </w:p>
        </w:tc>
        <w:tc>
          <w:tcPr>
            <w:tcW w:w="1134" w:type="dxa"/>
          </w:tcPr>
          <w:p w14:paraId="01D26215" w14:textId="77777777" w:rsidR="00F07A1B" w:rsidRPr="00F27C8A" w:rsidRDefault="00F07A1B" w:rsidP="00F07A1B">
            <w:pPr>
              <w:spacing w:before="240" w:after="240"/>
              <w:jc w:val="both"/>
              <w:rPr>
                <w:rFonts w:ascii="Times New Roman" w:hAnsi="Times New Roman" w:cs="Times New Roman"/>
              </w:rPr>
            </w:pPr>
          </w:p>
        </w:tc>
        <w:tc>
          <w:tcPr>
            <w:tcW w:w="1242" w:type="dxa"/>
          </w:tcPr>
          <w:p w14:paraId="7F097413" w14:textId="77777777" w:rsidR="00F07A1B" w:rsidRPr="00F27C8A" w:rsidRDefault="00F07A1B" w:rsidP="00F07A1B">
            <w:pPr>
              <w:spacing w:before="240" w:after="240"/>
              <w:jc w:val="both"/>
              <w:rPr>
                <w:rFonts w:ascii="Times New Roman" w:hAnsi="Times New Roman" w:cs="Times New Roman"/>
              </w:rPr>
            </w:pPr>
          </w:p>
        </w:tc>
      </w:tr>
      <w:tr w:rsidR="009F087D" w:rsidRPr="00F27C8A" w14:paraId="3329F7E6" w14:textId="77777777" w:rsidTr="00F27C8A">
        <w:tc>
          <w:tcPr>
            <w:tcW w:w="4281" w:type="dxa"/>
          </w:tcPr>
          <w:p w14:paraId="0FF353A8" w14:textId="53C19BFC" w:rsidR="00F07A1B" w:rsidRPr="00F07A1B" w:rsidRDefault="00F07A1B" w:rsidP="00F07A1B">
            <w:pPr>
              <w:spacing w:before="240" w:after="240"/>
              <w:jc w:val="both"/>
              <w:rPr>
                <w:rFonts w:ascii="Times New Roman" w:hAnsi="Times New Roman" w:cs="Times New Roman"/>
              </w:rPr>
            </w:pPr>
            <w:r>
              <w:rPr>
                <w:rFonts w:ascii="Times New Roman" w:hAnsi="Times New Roman"/>
              </w:rPr>
              <w:t>c. numatyti apsaugos priemones, skirtas įmonių komercinėms paslaptims apsaugoti;</w:t>
            </w:r>
          </w:p>
        </w:tc>
        <w:tc>
          <w:tcPr>
            <w:tcW w:w="1134" w:type="dxa"/>
          </w:tcPr>
          <w:p w14:paraId="04DD1E10" w14:textId="77777777" w:rsidR="00F07A1B" w:rsidRPr="00F27C8A" w:rsidRDefault="00F07A1B" w:rsidP="00F07A1B">
            <w:pPr>
              <w:spacing w:before="240" w:after="240"/>
              <w:jc w:val="both"/>
              <w:rPr>
                <w:rFonts w:ascii="Times New Roman" w:hAnsi="Times New Roman" w:cs="Times New Roman"/>
              </w:rPr>
            </w:pPr>
          </w:p>
        </w:tc>
        <w:tc>
          <w:tcPr>
            <w:tcW w:w="1134" w:type="dxa"/>
          </w:tcPr>
          <w:p w14:paraId="31D710F9" w14:textId="77777777" w:rsidR="00F07A1B" w:rsidRPr="00F27C8A" w:rsidRDefault="00F07A1B" w:rsidP="00F07A1B">
            <w:pPr>
              <w:spacing w:before="240" w:after="240"/>
              <w:jc w:val="both"/>
              <w:rPr>
                <w:rFonts w:ascii="Times New Roman" w:hAnsi="Times New Roman" w:cs="Times New Roman"/>
              </w:rPr>
            </w:pPr>
          </w:p>
        </w:tc>
        <w:tc>
          <w:tcPr>
            <w:tcW w:w="1134" w:type="dxa"/>
          </w:tcPr>
          <w:p w14:paraId="22B2ED09" w14:textId="77777777" w:rsidR="00F07A1B" w:rsidRPr="00F27C8A" w:rsidRDefault="00F07A1B" w:rsidP="00F07A1B">
            <w:pPr>
              <w:spacing w:before="240" w:after="240"/>
              <w:jc w:val="both"/>
              <w:rPr>
                <w:rFonts w:ascii="Times New Roman" w:hAnsi="Times New Roman" w:cs="Times New Roman"/>
              </w:rPr>
            </w:pPr>
          </w:p>
        </w:tc>
        <w:tc>
          <w:tcPr>
            <w:tcW w:w="1242" w:type="dxa"/>
          </w:tcPr>
          <w:p w14:paraId="453C3E2C" w14:textId="77777777" w:rsidR="00F07A1B" w:rsidRPr="00F27C8A" w:rsidRDefault="00F07A1B" w:rsidP="00F07A1B">
            <w:pPr>
              <w:spacing w:before="240" w:after="240"/>
              <w:jc w:val="both"/>
              <w:rPr>
                <w:rFonts w:ascii="Times New Roman" w:hAnsi="Times New Roman" w:cs="Times New Roman"/>
              </w:rPr>
            </w:pPr>
          </w:p>
        </w:tc>
      </w:tr>
      <w:tr w:rsidR="009F087D" w:rsidRPr="00F27C8A" w14:paraId="18DA7674" w14:textId="77777777" w:rsidTr="00F27C8A">
        <w:trPr>
          <w:trHeight w:val="1559"/>
        </w:trPr>
        <w:tc>
          <w:tcPr>
            <w:tcW w:w="4281" w:type="dxa"/>
          </w:tcPr>
          <w:p w14:paraId="6C180B31" w14:textId="794E53B9" w:rsidR="00F07A1B" w:rsidRPr="00F07A1B" w:rsidRDefault="00F07A1B" w:rsidP="00F07A1B">
            <w:pPr>
              <w:spacing w:before="240" w:after="240"/>
              <w:jc w:val="both"/>
              <w:rPr>
                <w:rFonts w:ascii="Times New Roman" w:hAnsi="Times New Roman" w:cs="Times New Roman"/>
              </w:rPr>
            </w:pPr>
            <w:r>
              <w:rPr>
                <w:rFonts w:ascii="Times New Roman" w:hAnsi="Times New Roman"/>
              </w:rPr>
              <w:t xml:space="preserve">d. nesiekti iškreipti konkurencijos, o ypač – užkirsti įmonėms kelio sudarinėti sandorius su daugiau kaip vienu teikėju. </w:t>
            </w:r>
          </w:p>
        </w:tc>
        <w:tc>
          <w:tcPr>
            <w:tcW w:w="1134" w:type="dxa"/>
          </w:tcPr>
          <w:p w14:paraId="7172526E" w14:textId="77777777" w:rsidR="00F07A1B" w:rsidRPr="00F27C8A" w:rsidRDefault="00F07A1B" w:rsidP="00F07A1B">
            <w:pPr>
              <w:spacing w:before="240" w:after="240"/>
              <w:jc w:val="both"/>
              <w:rPr>
                <w:rFonts w:ascii="Times New Roman" w:hAnsi="Times New Roman" w:cs="Times New Roman"/>
              </w:rPr>
            </w:pPr>
          </w:p>
        </w:tc>
        <w:tc>
          <w:tcPr>
            <w:tcW w:w="1134" w:type="dxa"/>
          </w:tcPr>
          <w:p w14:paraId="49D13B13" w14:textId="77777777" w:rsidR="00F07A1B" w:rsidRPr="00F27C8A" w:rsidRDefault="00F07A1B" w:rsidP="00F07A1B">
            <w:pPr>
              <w:spacing w:before="240" w:after="240"/>
              <w:jc w:val="both"/>
              <w:rPr>
                <w:rFonts w:ascii="Times New Roman" w:hAnsi="Times New Roman" w:cs="Times New Roman"/>
              </w:rPr>
            </w:pPr>
          </w:p>
        </w:tc>
        <w:tc>
          <w:tcPr>
            <w:tcW w:w="1134" w:type="dxa"/>
          </w:tcPr>
          <w:p w14:paraId="7AD41E24" w14:textId="77777777" w:rsidR="00F07A1B" w:rsidRPr="00F27C8A" w:rsidRDefault="00F07A1B" w:rsidP="00F07A1B">
            <w:pPr>
              <w:spacing w:before="240" w:after="240"/>
              <w:jc w:val="both"/>
              <w:rPr>
                <w:rFonts w:ascii="Times New Roman" w:hAnsi="Times New Roman" w:cs="Times New Roman"/>
              </w:rPr>
            </w:pPr>
          </w:p>
        </w:tc>
        <w:tc>
          <w:tcPr>
            <w:tcW w:w="1242" w:type="dxa"/>
          </w:tcPr>
          <w:p w14:paraId="36954DE7" w14:textId="77777777" w:rsidR="00F07A1B" w:rsidRPr="00F27C8A" w:rsidRDefault="00F07A1B" w:rsidP="00F07A1B">
            <w:pPr>
              <w:spacing w:before="240" w:after="240"/>
              <w:jc w:val="both"/>
              <w:rPr>
                <w:rFonts w:ascii="Times New Roman" w:hAnsi="Times New Roman" w:cs="Times New Roman"/>
              </w:rPr>
            </w:pPr>
          </w:p>
        </w:tc>
      </w:tr>
    </w:tbl>
    <w:p w14:paraId="790C58A2" w14:textId="6D0C5448" w:rsidR="00AF4E8F" w:rsidRPr="00F27C8A" w:rsidRDefault="00AF4E8F" w:rsidP="00F27C8A">
      <w:pPr>
        <w:spacing w:before="240" w:after="240"/>
        <w:jc w:val="both"/>
        <w:rPr>
          <w:rFonts w:ascii="Times New Roman" w:hAnsi="Times New Roman" w:cs="Times New Roman"/>
        </w:rPr>
      </w:pPr>
    </w:p>
    <w:p w14:paraId="29DDC274" w14:textId="2CB10B94" w:rsidR="00F07A1B" w:rsidRPr="00F27C8A" w:rsidRDefault="000E0357" w:rsidP="00F27C8A">
      <w:pPr>
        <w:pStyle w:val="ListParagraph"/>
        <w:numPr>
          <w:ilvl w:val="0"/>
          <w:numId w:val="11"/>
        </w:numPr>
        <w:spacing w:before="240" w:after="240"/>
        <w:ind w:hanging="357"/>
        <w:contextualSpacing w:val="0"/>
        <w:jc w:val="both"/>
        <w:rPr>
          <w:rFonts w:ascii="Times New Roman" w:hAnsi="Times New Roman" w:cs="Times New Roman"/>
        </w:rPr>
      </w:pPr>
      <w:r>
        <w:rPr>
          <w:rFonts w:ascii="Times New Roman" w:hAnsi="Times New Roman"/>
        </w:rPr>
        <w:t xml:space="preserve">Kaip manote, kiek verslo įmonės yra linkusios derėtis dėl sutarčių vadovaudamosi kiekvienu iš šių principų ir ar pakankamai jos dės pastangų, kad daiktų interneto objektų ir tų objektų generuojamų duomenų rinkos būtų sąžiningos? </w:t>
      </w:r>
    </w:p>
    <w:tbl>
      <w:tblPr>
        <w:tblStyle w:val="TableGrid"/>
        <w:tblW w:w="0" w:type="auto"/>
        <w:tblInd w:w="363" w:type="dxa"/>
        <w:tblLook w:val="04A0" w:firstRow="1" w:lastRow="0" w:firstColumn="1" w:lastColumn="0" w:noHBand="0" w:noVBand="1"/>
      </w:tblPr>
      <w:tblGrid>
        <w:gridCol w:w="4257"/>
        <w:gridCol w:w="1113"/>
        <w:gridCol w:w="1240"/>
        <w:gridCol w:w="1047"/>
        <w:gridCol w:w="1268"/>
      </w:tblGrid>
      <w:tr w:rsidR="00F07A1B" w:rsidRPr="00873E30" w14:paraId="63A24887" w14:textId="77777777" w:rsidTr="00F27C8A">
        <w:tc>
          <w:tcPr>
            <w:tcW w:w="4281" w:type="dxa"/>
          </w:tcPr>
          <w:p w14:paraId="2A16C3AF" w14:textId="77777777" w:rsidR="00F07A1B" w:rsidRPr="00873E30" w:rsidRDefault="00F07A1B" w:rsidP="00873E30">
            <w:pPr>
              <w:spacing w:before="240" w:after="240"/>
              <w:jc w:val="both"/>
              <w:rPr>
                <w:rFonts w:ascii="Times New Roman" w:hAnsi="Times New Roman" w:cs="Times New Roman"/>
              </w:rPr>
            </w:pPr>
          </w:p>
        </w:tc>
        <w:tc>
          <w:tcPr>
            <w:tcW w:w="1114" w:type="dxa"/>
          </w:tcPr>
          <w:p w14:paraId="465DE086" w14:textId="477B563B" w:rsidR="00F07A1B" w:rsidRPr="00873E30" w:rsidRDefault="00F07A1B" w:rsidP="00873E30">
            <w:pPr>
              <w:spacing w:before="240" w:after="240"/>
              <w:jc w:val="both"/>
              <w:rPr>
                <w:rFonts w:ascii="Times New Roman" w:hAnsi="Times New Roman" w:cs="Times New Roman"/>
              </w:rPr>
            </w:pPr>
            <w:r>
              <w:rPr>
                <w:rFonts w:ascii="Times New Roman" w:hAnsi="Times New Roman"/>
              </w:rPr>
              <w:t>Labai linkusios</w:t>
            </w:r>
          </w:p>
        </w:tc>
        <w:tc>
          <w:tcPr>
            <w:tcW w:w="1241" w:type="dxa"/>
          </w:tcPr>
          <w:p w14:paraId="1A7B4741" w14:textId="78BC2B6A" w:rsidR="00F07A1B" w:rsidRPr="00873E30" w:rsidRDefault="00F07A1B" w:rsidP="00F07A1B">
            <w:pPr>
              <w:spacing w:before="240" w:after="240"/>
              <w:jc w:val="both"/>
              <w:rPr>
                <w:rFonts w:ascii="Times New Roman" w:hAnsi="Times New Roman" w:cs="Times New Roman"/>
              </w:rPr>
            </w:pPr>
            <w:r>
              <w:rPr>
                <w:rFonts w:ascii="Times New Roman" w:hAnsi="Times New Roman"/>
              </w:rPr>
              <w:t>Nuosaikiai linkusios</w:t>
            </w:r>
          </w:p>
        </w:tc>
        <w:tc>
          <w:tcPr>
            <w:tcW w:w="1047" w:type="dxa"/>
          </w:tcPr>
          <w:p w14:paraId="06694289" w14:textId="63633077" w:rsidR="00F07A1B" w:rsidRPr="00873E30" w:rsidRDefault="00F07A1B" w:rsidP="00873E30">
            <w:pPr>
              <w:spacing w:before="240" w:after="240"/>
              <w:jc w:val="both"/>
              <w:rPr>
                <w:rFonts w:ascii="Times New Roman" w:hAnsi="Times New Roman" w:cs="Times New Roman"/>
              </w:rPr>
            </w:pPr>
            <w:r>
              <w:rPr>
                <w:rFonts w:ascii="Times New Roman" w:hAnsi="Times New Roman"/>
              </w:rPr>
              <w:t>Mažiau linkusios</w:t>
            </w:r>
          </w:p>
        </w:tc>
        <w:tc>
          <w:tcPr>
            <w:tcW w:w="1242" w:type="dxa"/>
          </w:tcPr>
          <w:p w14:paraId="0F2A44E9" w14:textId="6CF220D7" w:rsidR="00F07A1B" w:rsidRPr="00873E30" w:rsidRDefault="00F07A1B" w:rsidP="00873E30">
            <w:pPr>
              <w:spacing w:before="240" w:after="240"/>
              <w:jc w:val="both"/>
              <w:rPr>
                <w:rFonts w:ascii="Times New Roman" w:hAnsi="Times New Roman" w:cs="Times New Roman"/>
              </w:rPr>
            </w:pPr>
            <w:r>
              <w:rPr>
                <w:rFonts w:ascii="Times New Roman" w:hAnsi="Times New Roman"/>
              </w:rPr>
              <w:t>Nelinkusios</w:t>
            </w:r>
          </w:p>
        </w:tc>
      </w:tr>
      <w:tr w:rsidR="00F07A1B" w:rsidRPr="00873E30" w14:paraId="1D212981" w14:textId="77777777" w:rsidTr="00F27C8A">
        <w:tc>
          <w:tcPr>
            <w:tcW w:w="4281" w:type="dxa"/>
          </w:tcPr>
          <w:p w14:paraId="63C5517C" w14:textId="77777777" w:rsidR="00F07A1B" w:rsidRPr="00873E30" w:rsidRDefault="00F07A1B" w:rsidP="00873E30">
            <w:pPr>
              <w:spacing w:before="240" w:after="240"/>
              <w:jc w:val="both"/>
              <w:rPr>
                <w:rFonts w:ascii="Times New Roman" w:hAnsi="Times New Roman" w:cs="Times New Roman"/>
              </w:rPr>
            </w:pPr>
            <w:r>
              <w:rPr>
                <w:rFonts w:ascii="Times New Roman" w:hAnsi="Times New Roman"/>
              </w:rPr>
              <w:t>a. užtikrinti skaidrumą – kas gali gauti prieigą prie atitinkamų duomenų ir kam jie naudojami;</w:t>
            </w:r>
          </w:p>
        </w:tc>
        <w:tc>
          <w:tcPr>
            <w:tcW w:w="1114" w:type="dxa"/>
          </w:tcPr>
          <w:p w14:paraId="23D3F836" w14:textId="77777777" w:rsidR="00F07A1B" w:rsidRPr="00873E30" w:rsidRDefault="00F07A1B" w:rsidP="00873E30">
            <w:pPr>
              <w:spacing w:before="240" w:after="240"/>
              <w:jc w:val="both"/>
              <w:rPr>
                <w:rFonts w:ascii="Times New Roman" w:hAnsi="Times New Roman" w:cs="Times New Roman"/>
              </w:rPr>
            </w:pPr>
          </w:p>
        </w:tc>
        <w:tc>
          <w:tcPr>
            <w:tcW w:w="1241" w:type="dxa"/>
          </w:tcPr>
          <w:p w14:paraId="15E5F441" w14:textId="77777777" w:rsidR="00F07A1B" w:rsidRPr="00873E30" w:rsidRDefault="00F07A1B" w:rsidP="00873E30">
            <w:pPr>
              <w:spacing w:before="240" w:after="240"/>
              <w:jc w:val="both"/>
              <w:rPr>
                <w:rFonts w:ascii="Times New Roman" w:hAnsi="Times New Roman" w:cs="Times New Roman"/>
              </w:rPr>
            </w:pPr>
          </w:p>
        </w:tc>
        <w:tc>
          <w:tcPr>
            <w:tcW w:w="1047" w:type="dxa"/>
          </w:tcPr>
          <w:p w14:paraId="31D823C7" w14:textId="77777777" w:rsidR="00F07A1B" w:rsidRPr="00873E30" w:rsidRDefault="00F07A1B" w:rsidP="00873E30">
            <w:pPr>
              <w:spacing w:before="240" w:after="240"/>
              <w:jc w:val="both"/>
              <w:rPr>
                <w:rFonts w:ascii="Times New Roman" w:hAnsi="Times New Roman" w:cs="Times New Roman"/>
              </w:rPr>
            </w:pPr>
          </w:p>
        </w:tc>
        <w:tc>
          <w:tcPr>
            <w:tcW w:w="1242" w:type="dxa"/>
          </w:tcPr>
          <w:p w14:paraId="4BE14BAE" w14:textId="77777777" w:rsidR="00F07A1B" w:rsidRPr="00873E30" w:rsidRDefault="00F07A1B" w:rsidP="00873E30">
            <w:pPr>
              <w:spacing w:before="240" w:after="240"/>
              <w:jc w:val="both"/>
              <w:rPr>
                <w:rFonts w:ascii="Times New Roman" w:hAnsi="Times New Roman" w:cs="Times New Roman"/>
              </w:rPr>
            </w:pPr>
          </w:p>
        </w:tc>
      </w:tr>
      <w:tr w:rsidR="00F07A1B" w:rsidRPr="00873E30" w14:paraId="5DDA6043" w14:textId="77777777" w:rsidTr="00F27C8A">
        <w:tc>
          <w:tcPr>
            <w:tcW w:w="4281" w:type="dxa"/>
          </w:tcPr>
          <w:p w14:paraId="1C4204CB" w14:textId="77777777" w:rsidR="00F07A1B" w:rsidRPr="00873E30" w:rsidRDefault="00F07A1B" w:rsidP="00873E30">
            <w:pPr>
              <w:spacing w:before="240" w:after="240"/>
              <w:jc w:val="both"/>
              <w:rPr>
                <w:rFonts w:ascii="Times New Roman" w:hAnsi="Times New Roman" w:cs="Times New Roman"/>
              </w:rPr>
            </w:pPr>
            <w:r>
              <w:rPr>
                <w:rFonts w:ascii="Times New Roman" w:hAnsi="Times New Roman"/>
              </w:rPr>
              <w:t>b. kuo labiau pripažinti kiekvienos iš šalių sukuriamą vertę;</w:t>
            </w:r>
          </w:p>
        </w:tc>
        <w:tc>
          <w:tcPr>
            <w:tcW w:w="1114" w:type="dxa"/>
          </w:tcPr>
          <w:p w14:paraId="2BBEABCD" w14:textId="77777777" w:rsidR="00F07A1B" w:rsidRPr="00873E30" w:rsidRDefault="00F07A1B" w:rsidP="00873E30">
            <w:pPr>
              <w:spacing w:before="240" w:after="240"/>
              <w:jc w:val="both"/>
              <w:rPr>
                <w:rFonts w:ascii="Times New Roman" w:hAnsi="Times New Roman" w:cs="Times New Roman"/>
              </w:rPr>
            </w:pPr>
          </w:p>
        </w:tc>
        <w:tc>
          <w:tcPr>
            <w:tcW w:w="1241" w:type="dxa"/>
          </w:tcPr>
          <w:p w14:paraId="4CD198F6" w14:textId="77777777" w:rsidR="00F07A1B" w:rsidRPr="00873E30" w:rsidRDefault="00F07A1B" w:rsidP="00873E30">
            <w:pPr>
              <w:spacing w:before="240" w:after="240"/>
              <w:jc w:val="both"/>
              <w:rPr>
                <w:rFonts w:ascii="Times New Roman" w:hAnsi="Times New Roman" w:cs="Times New Roman"/>
              </w:rPr>
            </w:pPr>
          </w:p>
        </w:tc>
        <w:tc>
          <w:tcPr>
            <w:tcW w:w="1047" w:type="dxa"/>
          </w:tcPr>
          <w:p w14:paraId="1FE5E5C4" w14:textId="77777777" w:rsidR="00F07A1B" w:rsidRPr="00873E30" w:rsidRDefault="00F07A1B" w:rsidP="00873E30">
            <w:pPr>
              <w:spacing w:before="240" w:after="240"/>
              <w:jc w:val="both"/>
              <w:rPr>
                <w:rFonts w:ascii="Times New Roman" w:hAnsi="Times New Roman" w:cs="Times New Roman"/>
              </w:rPr>
            </w:pPr>
          </w:p>
        </w:tc>
        <w:tc>
          <w:tcPr>
            <w:tcW w:w="1242" w:type="dxa"/>
          </w:tcPr>
          <w:p w14:paraId="51AC6638" w14:textId="77777777" w:rsidR="00F07A1B" w:rsidRPr="00873E30" w:rsidRDefault="00F07A1B" w:rsidP="00873E30">
            <w:pPr>
              <w:spacing w:before="240" w:after="240"/>
              <w:jc w:val="both"/>
              <w:rPr>
                <w:rFonts w:ascii="Times New Roman" w:hAnsi="Times New Roman" w:cs="Times New Roman"/>
              </w:rPr>
            </w:pPr>
          </w:p>
        </w:tc>
      </w:tr>
      <w:tr w:rsidR="00F07A1B" w:rsidRPr="00873E30" w14:paraId="162ED23C" w14:textId="77777777" w:rsidTr="00F27C8A">
        <w:tc>
          <w:tcPr>
            <w:tcW w:w="4281" w:type="dxa"/>
          </w:tcPr>
          <w:p w14:paraId="1DABD617" w14:textId="77777777" w:rsidR="00F07A1B" w:rsidRPr="00873E30" w:rsidRDefault="00F07A1B" w:rsidP="00873E30">
            <w:pPr>
              <w:spacing w:before="240" w:after="240"/>
              <w:jc w:val="both"/>
              <w:rPr>
                <w:rFonts w:ascii="Times New Roman" w:hAnsi="Times New Roman" w:cs="Times New Roman"/>
              </w:rPr>
            </w:pPr>
            <w:r>
              <w:rPr>
                <w:rFonts w:ascii="Times New Roman" w:hAnsi="Times New Roman"/>
              </w:rPr>
              <w:t>c. numatyti apsaugos priemones, skirtas įmonių komercinėms paslaptims apsaugoti;</w:t>
            </w:r>
          </w:p>
        </w:tc>
        <w:tc>
          <w:tcPr>
            <w:tcW w:w="1114" w:type="dxa"/>
          </w:tcPr>
          <w:p w14:paraId="6440EB79" w14:textId="77777777" w:rsidR="00F07A1B" w:rsidRPr="00873E30" w:rsidRDefault="00F07A1B" w:rsidP="00873E30">
            <w:pPr>
              <w:spacing w:before="240" w:after="240"/>
              <w:jc w:val="both"/>
              <w:rPr>
                <w:rFonts w:ascii="Times New Roman" w:hAnsi="Times New Roman" w:cs="Times New Roman"/>
              </w:rPr>
            </w:pPr>
          </w:p>
        </w:tc>
        <w:tc>
          <w:tcPr>
            <w:tcW w:w="1241" w:type="dxa"/>
          </w:tcPr>
          <w:p w14:paraId="299666DC" w14:textId="77777777" w:rsidR="00F07A1B" w:rsidRPr="00873E30" w:rsidRDefault="00F07A1B" w:rsidP="00873E30">
            <w:pPr>
              <w:spacing w:before="240" w:after="240"/>
              <w:jc w:val="both"/>
              <w:rPr>
                <w:rFonts w:ascii="Times New Roman" w:hAnsi="Times New Roman" w:cs="Times New Roman"/>
              </w:rPr>
            </w:pPr>
          </w:p>
        </w:tc>
        <w:tc>
          <w:tcPr>
            <w:tcW w:w="1047" w:type="dxa"/>
          </w:tcPr>
          <w:p w14:paraId="09F4E0F7" w14:textId="77777777" w:rsidR="00F07A1B" w:rsidRPr="00873E30" w:rsidRDefault="00F07A1B" w:rsidP="00873E30">
            <w:pPr>
              <w:spacing w:before="240" w:after="240"/>
              <w:jc w:val="both"/>
              <w:rPr>
                <w:rFonts w:ascii="Times New Roman" w:hAnsi="Times New Roman" w:cs="Times New Roman"/>
              </w:rPr>
            </w:pPr>
          </w:p>
        </w:tc>
        <w:tc>
          <w:tcPr>
            <w:tcW w:w="1242" w:type="dxa"/>
          </w:tcPr>
          <w:p w14:paraId="12670B72" w14:textId="77777777" w:rsidR="00F07A1B" w:rsidRPr="00873E30" w:rsidRDefault="00F07A1B" w:rsidP="00873E30">
            <w:pPr>
              <w:spacing w:before="240" w:after="240"/>
              <w:jc w:val="both"/>
              <w:rPr>
                <w:rFonts w:ascii="Times New Roman" w:hAnsi="Times New Roman" w:cs="Times New Roman"/>
              </w:rPr>
            </w:pPr>
          </w:p>
        </w:tc>
      </w:tr>
      <w:tr w:rsidR="00F07A1B" w:rsidRPr="00873E30" w14:paraId="07E92680" w14:textId="77777777" w:rsidTr="00F27C8A">
        <w:tc>
          <w:tcPr>
            <w:tcW w:w="4281" w:type="dxa"/>
          </w:tcPr>
          <w:p w14:paraId="5333E7CD" w14:textId="55A0A372" w:rsidR="00F07A1B" w:rsidRPr="00873E30" w:rsidRDefault="00F07A1B" w:rsidP="00873E30">
            <w:pPr>
              <w:spacing w:before="240" w:after="240"/>
              <w:jc w:val="both"/>
              <w:rPr>
                <w:rFonts w:ascii="Times New Roman" w:hAnsi="Times New Roman" w:cs="Times New Roman"/>
              </w:rPr>
            </w:pPr>
            <w:r>
              <w:rPr>
                <w:rFonts w:ascii="Times New Roman" w:hAnsi="Times New Roman"/>
              </w:rPr>
              <w:t xml:space="preserve">d. nesiekti iškreipti konkurencijos, o ypač – užkirsti įmonėms kelio sudarinėti sandorius su daugiau kaip vienu teikėju. </w:t>
            </w:r>
          </w:p>
        </w:tc>
        <w:tc>
          <w:tcPr>
            <w:tcW w:w="1114" w:type="dxa"/>
          </w:tcPr>
          <w:p w14:paraId="09507F0A" w14:textId="77777777" w:rsidR="00F07A1B" w:rsidRPr="00873E30" w:rsidRDefault="00F07A1B" w:rsidP="00873E30">
            <w:pPr>
              <w:spacing w:before="240" w:after="240"/>
              <w:jc w:val="both"/>
              <w:rPr>
                <w:rFonts w:ascii="Times New Roman" w:hAnsi="Times New Roman" w:cs="Times New Roman"/>
              </w:rPr>
            </w:pPr>
          </w:p>
        </w:tc>
        <w:tc>
          <w:tcPr>
            <w:tcW w:w="1241" w:type="dxa"/>
          </w:tcPr>
          <w:p w14:paraId="702654C2" w14:textId="77777777" w:rsidR="00F07A1B" w:rsidRPr="00873E30" w:rsidRDefault="00F07A1B" w:rsidP="00873E30">
            <w:pPr>
              <w:spacing w:before="240" w:after="240"/>
              <w:jc w:val="both"/>
              <w:rPr>
                <w:rFonts w:ascii="Times New Roman" w:hAnsi="Times New Roman" w:cs="Times New Roman"/>
              </w:rPr>
            </w:pPr>
          </w:p>
        </w:tc>
        <w:tc>
          <w:tcPr>
            <w:tcW w:w="1047" w:type="dxa"/>
          </w:tcPr>
          <w:p w14:paraId="098E842D" w14:textId="77777777" w:rsidR="00F07A1B" w:rsidRPr="00873E30" w:rsidRDefault="00F07A1B" w:rsidP="00873E30">
            <w:pPr>
              <w:spacing w:before="240" w:after="240"/>
              <w:jc w:val="both"/>
              <w:rPr>
                <w:rFonts w:ascii="Times New Roman" w:hAnsi="Times New Roman" w:cs="Times New Roman"/>
              </w:rPr>
            </w:pPr>
          </w:p>
        </w:tc>
        <w:tc>
          <w:tcPr>
            <w:tcW w:w="1242" w:type="dxa"/>
          </w:tcPr>
          <w:p w14:paraId="3B7162D4" w14:textId="77777777" w:rsidR="00F07A1B" w:rsidRPr="00873E30" w:rsidRDefault="00F07A1B" w:rsidP="00873E30">
            <w:pPr>
              <w:spacing w:before="240" w:after="240"/>
              <w:jc w:val="both"/>
              <w:rPr>
                <w:rFonts w:ascii="Times New Roman" w:hAnsi="Times New Roman" w:cs="Times New Roman"/>
              </w:rPr>
            </w:pPr>
          </w:p>
        </w:tc>
      </w:tr>
    </w:tbl>
    <w:p w14:paraId="12849FB3" w14:textId="77777777" w:rsidR="009F087D" w:rsidRPr="00F07A1B" w:rsidRDefault="009F087D" w:rsidP="00F27C8A">
      <w:pPr>
        <w:spacing w:before="240" w:after="240"/>
        <w:jc w:val="both"/>
        <w:rPr>
          <w:rFonts w:ascii="Times New Roman" w:hAnsi="Times New Roman" w:cs="Times New Roman"/>
        </w:rPr>
      </w:pPr>
    </w:p>
    <w:p w14:paraId="096F4B98" w14:textId="77777777" w:rsidR="00CA2AB3" w:rsidRPr="00F27C8A" w:rsidRDefault="00CA2AB3" w:rsidP="00362C89">
      <w:pPr>
        <w:jc w:val="both"/>
        <w:rPr>
          <w:rFonts w:ascii="Times New Roman" w:hAnsi="Times New Roman" w:cs="Times New Roman"/>
          <w:u w:val="single"/>
        </w:rPr>
      </w:pPr>
      <w:r>
        <w:rPr>
          <w:rFonts w:ascii="Times New Roman" w:hAnsi="Times New Roman"/>
          <w:u w:val="single"/>
        </w:rPr>
        <w:t>3 DALIS. B2B dalijimosi duomenimis gairės ir būsimasis Paramos centras</w:t>
      </w:r>
    </w:p>
    <w:p w14:paraId="096F4B99" w14:textId="3A5ECE4E" w:rsidR="000E0357" w:rsidRPr="00F27C8A" w:rsidRDefault="000E0357" w:rsidP="00362C89">
      <w:pPr>
        <w:jc w:val="both"/>
        <w:rPr>
          <w:rFonts w:ascii="Times New Roman" w:hAnsi="Times New Roman" w:cs="Times New Roman"/>
        </w:rPr>
      </w:pPr>
      <w:r>
        <w:rPr>
          <w:rFonts w:ascii="Times New Roman" w:hAnsi="Times New Roman"/>
        </w:rPr>
        <w:t xml:space="preserve">Balandžio 25 d. Komisija taip pat paskelbė gaires, kuriose paaiškinama, kaip įmonės galėtų tarpusavyje pasidalyti didesniu duomenų kiekiu. Gaires sudaro trys dalys: nebaigtinis dalijimosi duomenimis mechanizmų sąrašas, pagrindiniai verslo modeliai ir elementų, į kuriuos reikėtų atsižvelgti sudarant sutartis dėl duomenų, sąrašas. </w:t>
      </w:r>
    </w:p>
    <w:p w14:paraId="096F4B9A" w14:textId="242E3739" w:rsidR="00CA2AB3" w:rsidRPr="00F27C8A" w:rsidRDefault="0008464B" w:rsidP="0026750E">
      <w:pPr>
        <w:pStyle w:val="ListParagraph"/>
        <w:numPr>
          <w:ilvl w:val="0"/>
          <w:numId w:val="11"/>
        </w:numPr>
        <w:spacing w:before="240" w:after="240"/>
        <w:contextualSpacing w:val="0"/>
        <w:jc w:val="both"/>
        <w:rPr>
          <w:rFonts w:ascii="Times New Roman" w:hAnsi="Times New Roman" w:cs="Times New Roman"/>
        </w:rPr>
      </w:pPr>
      <w:r>
        <w:rPr>
          <w:rFonts w:ascii="Times New Roman" w:hAnsi="Times New Roman"/>
        </w:rPr>
        <w:t xml:space="preserve">Kurios gairių dokumento dalys yra aktualios jums: </w:t>
      </w:r>
    </w:p>
    <w:p w14:paraId="096F4B9B" w14:textId="5253B358" w:rsidR="00362C89" w:rsidRPr="00F27C8A" w:rsidRDefault="009F087D" w:rsidP="00F27C8A">
      <w:pPr>
        <w:spacing w:before="240" w:after="240"/>
        <w:ind w:left="360"/>
        <w:jc w:val="both"/>
        <w:rPr>
          <w:rFonts w:ascii="Times New Roman" w:hAnsi="Times New Roman" w:cs="Times New Roman"/>
        </w:rPr>
      </w:pPr>
      <w:r>
        <w:rPr>
          <w:rFonts w:ascii="Times New Roman" w:hAnsi="Times New Roman"/>
        </w:rPr>
        <w:t xml:space="preserve">○ A. Elementai, į kuriuos reikia atsižvelgti derantis dėl sutarčių; </w:t>
      </w:r>
    </w:p>
    <w:p w14:paraId="096F4B9C" w14:textId="12C6BD66" w:rsidR="00362C89" w:rsidRPr="00F27C8A" w:rsidRDefault="009F087D" w:rsidP="00F27C8A">
      <w:pPr>
        <w:spacing w:before="240" w:after="240"/>
        <w:ind w:firstLine="360"/>
        <w:jc w:val="both"/>
        <w:rPr>
          <w:rFonts w:ascii="Times New Roman" w:hAnsi="Times New Roman" w:cs="Times New Roman"/>
        </w:rPr>
      </w:pPr>
      <w:r>
        <w:rPr>
          <w:rFonts w:ascii="Times New Roman" w:hAnsi="Times New Roman"/>
        </w:rPr>
        <w:t xml:space="preserve">○ B. Techniniai dalijimosi duomenimis aspektai; </w:t>
      </w:r>
    </w:p>
    <w:p w14:paraId="096F4B9D" w14:textId="142B6107" w:rsidR="00362C89" w:rsidRPr="00F27C8A" w:rsidRDefault="009F087D" w:rsidP="00F27C8A">
      <w:pPr>
        <w:spacing w:before="240" w:after="240"/>
        <w:ind w:firstLine="360"/>
        <w:jc w:val="both"/>
        <w:rPr>
          <w:rFonts w:ascii="Times New Roman" w:hAnsi="Times New Roman" w:cs="Times New Roman"/>
        </w:rPr>
      </w:pPr>
      <w:r>
        <w:rPr>
          <w:rFonts w:ascii="Times New Roman" w:hAnsi="Times New Roman"/>
        </w:rPr>
        <w:t xml:space="preserve">○ C. Pagrindiniai verslo modeliai ir gerosios patirties pavyzdžiai. </w:t>
      </w:r>
    </w:p>
    <w:p w14:paraId="096F4B9E" w14:textId="77777777" w:rsidR="00CA2AB3" w:rsidRPr="00F27C8A" w:rsidRDefault="0026750E" w:rsidP="0026750E">
      <w:pPr>
        <w:spacing w:before="240" w:after="240"/>
        <w:jc w:val="both"/>
        <w:rPr>
          <w:rFonts w:ascii="Times New Roman" w:hAnsi="Times New Roman" w:cs="Times New Roman"/>
          <w:u w:val="single"/>
        </w:rPr>
      </w:pPr>
      <w:r>
        <w:rPr>
          <w:rFonts w:ascii="Times New Roman" w:hAnsi="Times New Roman"/>
        </w:rPr>
        <w:t>Komisija ne tik balandžio 25 d. paskelbė gaires, bet ir finansuos Dalijimosi duomenimis paramos centrą. Šiam Paramos centrui bus pavedama įvairių užduočių.</w:t>
      </w:r>
    </w:p>
    <w:p w14:paraId="4A1D9BEF" w14:textId="77777777" w:rsidR="009F087D" w:rsidRDefault="0008464B" w:rsidP="0026750E">
      <w:pPr>
        <w:pStyle w:val="ListParagraph"/>
        <w:numPr>
          <w:ilvl w:val="0"/>
          <w:numId w:val="11"/>
        </w:numPr>
        <w:spacing w:before="240" w:after="240"/>
        <w:contextualSpacing w:val="0"/>
        <w:jc w:val="both"/>
        <w:rPr>
          <w:rFonts w:ascii="Times New Roman" w:hAnsi="Times New Roman" w:cs="Times New Roman"/>
        </w:rPr>
      </w:pPr>
      <w:r>
        <w:rPr>
          <w:rFonts w:ascii="Times New Roman" w:hAnsi="Times New Roman"/>
        </w:rPr>
        <w:t>Kaip pagal svarbą vykdant pramoninę veiklą vertintumėte kiekvieną iš principų?</w:t>
      </w:r>
    </w:p>
    <w:tbl>
      <w:tblPr>
        <w:tblStyle w:val="TableGrid"/>
        <w:tblW w:w="0" w:type="auto"/>
        <w:tblInd w:w="363" w:type="dxa"/>
        <w:tblLayout w:type="fixed"/>
        <w:tblLook w:val="04A0" w:firstRow="1" w:lastRow="0" w:firstColumn="1" w:lastColumn="0" w:noHBand="0" w:noVBand="1"/>
      </w:tblPr>
      <w:tblGrid>
        <w:gridCol w:w="3573"/>
        <w:gridCol w:w="992"/>
        <w:gridCol w:w="1276"/>
        <w:gridCol w:w="1134"/>
        <w:gridCol w:w="1025"/>
        <w:gridCol w:w="925"/>
      </w:tblGrid>
      <w:tr w:rsidR="00A407A6" w:rsidRPr="00873E30" w14:paraId="03E1556F" w14:textId="57BC6675" w:rsidTr="00A407A6">
        <w:tc>
          <w:tcPr>
            <w:tcW w:w="3573" w:type="dxa"/>
          </w:tcPr>
          <w:p w14:paraId="6CF3FEC2" w14:textId="77777777" w:rsidR="009F087D" w:rsidRPr="00873E30" w:rsidRDefault="009F087D" w:rsidP="00873E30">
            <w:pPr>
              <w:spacing w:before="240" w:after="240"/>
              <w:jc w:val="both"/>
              <w:rPr>
                <w:rFonts w:ascii="Times New Roman" w:hAnsi="Times New Roman" w:cs="Times New Roman"/>
              </w:rPr>
            </w:pPr>
          </w:p>
        </w:tc>
        <w:tc>
          <w:tcPr>
            <w:tcW w:w="992" w:type="dxa"/>
          </w:tcPr>
          <w:p w14:paraId="678137A2" w14:textId="1C094BFF" w:rsidR="009F087D" w:rsidRPr="00873E30" w:rsidRDefault="00A407A6" w:rsidP="00873E30">
            <w:pPr>
              <w:spacing w:before="240" w:after="240"/>
              <w:jc w:val="both"/>
              <w:rPr>
                <w:rFonts w:ascii="Times New Roman" w:hAnsi="Times New Roman" w:cs="Times New Roman"/>
              </w:rPr>
            </w:pPr>
            <w:r>
              <w:rPr>
                <w:rFonts w:ascii="Times New Roman" w:hAnsi="Times New Roman"/>
              </w:rPr>
              <w:t>Labai svarbus</w:t>
            </w:r>
            <w:r>
              <w:tab/>
            </w:r>
          </w:p>
        </w:tc>
        <w:tc>
          <w:tcPr>
            <w:tcW w:w="1276" w:type="dxa"/>
          </w:tcPr>
          <w:p w14:paraId="63403610" w14:textId="5FD770A1" w:rsidR="009F087D" w:rsidRPr="00873E30" w:rsidRDefault="00A407A6" w:rsidP="00873E30">
            <w:pPr>
              <w:spacing w:before="240" w:after="240"/>
              <w:jc w:val="both"/>
              <w:rPr>
                <w:rFonts w:ascii="Times New Roman" w:hAnsi="Times New Roman" w:cs="Times New Roman"/>
              </w:rPr>
            </w:pPr>
            <w:r>
              <w:rPr>
                <w:rFonts w:ascii="Times New Roman" w:hAnsi="Times New Roman"/>
              </w:rPr>
              <w:t>Svarbus</w:t>
            </w:r>
          </w:p>
        </w:tc>
        <w:tc>
          <w:tcPr>
            <w:tcW w:w="1134" w:type="dxa"/>
          </w:tcPr>
          <w:p w14:paraId="3166F973" w14:textId="53753EEF" w:rsidR="009F087D" w:rsidRPr="00873E30" w:rsidRDefault="00A407A6" w:rsidP="00873E30">
            <w:pPr>
              <w:spacing w:before="240" w:after="240"/>
              <w:jc w:val="both"/>
              <w:rPr>
                <w:rFonts w:ascii="Times New Roman" w:hAnsi="Times New Roman" w:cs="Times New Roman"/>
              </w:rPr>
            </w:pPr>
            <w:r>
              <w:rPr>
                <w:rFonts w:ascii="Times New Roman" w:hAnsi="Times New Roman"/>
              </w:rPr>
              <w:t>Pakankamai svarbus</w:t>
            </w:r>
            <w:r>
              <w:tab/>
            </w:r>
          </w:p>
        </w:tc>
        <w:tc>
          <w:tcPr>
            <w:tcW w:w="1025" w:type="dxa"/>
          </w:tcPr>
          <w:p w14:paraId="567C915C" w14:textId="109570E2" w:rsidR="009F087D" w:rsidRPr="00873E30" w:rsidRDefault="00A407A6" w:rsidP="00873E30">
            <w:pPr>
              <w:spacing w:before="240" w:after="240"/>
              <w:jc w:val="both"/>
              <w:rPr>
                <w:rFonts w:ascii="Times New Roman" w:hAnsi="Times New Roman" w:cs="Times New Roman"/>
              </w:rPr>
            </w:pPr>
            <w:r>
              <w:rPr>
                <w:rFonts w:ascii="Times New Roman" w:hAnsi="Times New Roman"/>
              </w:rPr>
              <w:t>Šiek tiek svarbus</w:t>
            </w:r>
          </w:p>
        </w:tc>
        <w:tc>
          <w:tcPr>
            <w:tcW w:w="925" w:type="dxa"/>
          </w:tcPr>
          <w:p w14:paraId="71B38A1E" w14:textId="1CA7F0D9" w:rsidR="009F087D" w:rsidRDefault="00A407A6" w:rsidP="00873E30">
            <w:pPr>
              <w:spacing w:before="240" w:after="240"/>
              <w:jc w:val="both"/>
              <w:rPr>
                <w:rFonts w:ascii="Times New Roman" w:hAnsi="Times New Roman" w:cs="Times New Roman"/>
              </w:rPr>
            </w:pPr>
            <w:r>
              <w:rPr>
                <w:rFonts w:ascii="Times New Roman" w:hAnsi="Times New Roman"/>
              </w:rPr>
              <w:t>Nesvarbus</w:t>
            </w:r>
          </w:p>
        </w:tc>
      </w:tr>
      <w:tr w:rsidR="00A407A6" w:rsidRPr="00873E30" w14:paraId="772CD6F6" w14:textId="658CB2CF" w:rsidTr="00A407A6">
        <w:tc>
          <w:tcPr>
            <w:tcW w:w="3573" w:type="dxa"/>
          </w:tcPr>
          <w:p w14:paraId="582BBA55" w14:textId="757358F7" w:rsidR="009F087D" w:rsidRPr="00873E30" w:rsidRDefault="009F087D" w:rsidP="00C067F8">
            <w:pPr>
              <w:spacing w:before="240" w:after="240"/>
              <w:jc w:val="both"/>
              <w:rPr>
                <w:rFonts w:ascii="Times New Roman" w:hAnsi="Times New Roman" w:cs="Times New Roman"/>
              </w:rPr>
            </w:pPr>
            <w:r>
              <w:rPr>
                <w:rFonts w:ascii="Times New Roman" w:hAnsi="Times New Roman"/>
              </w:rPr>
              <w:t>Supažindinti pramonės atstovus su gerosios dalijimosi duomenimis patirties pavyzdžiais</w:t>
            </w:r>
            <w:r>
              <w:tab/>
            </w:r>
          </w:p>
        </w:tc>
        <w:tc>
          <w:tcPr>
            <w:tcW w:w="992" w:type="dxa"/>
          </w:tcPr>
          <w:p w14:paraId="20983C6D" w14:textId="77777777" w:rsidR="009F087D" w:rsidRPr="00873E30" w:rsidRDefault="009F087D" w:rsidP="00873E30">
            <w:pPr>
              <w:spacing w:before="240" w:after="240"/>
              <w:jc w:val="both"/>
              <w:rPr>
                <w:rFonts w:ascii="Times New Roman" w:hAnsi="Times New Roman" w:cs="Times New Roman"/>
              </w:rPr>
            </w:pPr>
          </w:p>
        </w:tc>
        <w:tc>
          <w:tcPr>
            <w:tcW w:w="1276" w:type="dxa"/>
          </w:tcPr>
          <w:p w14:paraId="0B52EA82" w14:textId="77777777" w:rsidR="009F087D" w:rsidRPr="00873E30" w:rsidRDefault="009F087D" w:rsidP="00873E30">
            <w:pPr>
              <w:spacing w:before="240" w:after="240"/>
              <w:jc w:val="both"/>
              <w:rPr>
                <w:rFonts w:ascii="Times New Roman" w:hAnsi="Times New Roman" w:cs="Times New Roman"/>
              </w:rPr>
            </w:pPr>
          </w:p>
        </w:tc>
        <w:tc>
          <w:tcPr>
            <w:tcW w:w="1134" w:type="dxa"/>
          </w:tcPr>
          <w:p w14:paraId="06FB2697" w14:textId="77777777" w:rsidR="009F087D" w:rsidRPr="00873E30" w:rsidRDefault="009F087D" w:rsidP="00873E30">
            <w:pPr>
              <w:spacing w:before="240" w:after="240"/>
              <w:jc w:val="both"/>
              <w:rPr>
                <w:rFonts w:ascii="Times New Roman" w:hAnsi="Times New Roman" w:cs="Times New Roman"/>
              </w:rPr>
            </w:pPr>
          </w:p>
        </w:tc>
        <w:tc>
          <w:tcPr>
            <w:tcW w:w="1025" w:type="dxa"/>
          </w:tcPr>
          <w:p w14:paraId="6C042C85" w14:textId="77777777" w:rsidR="009F087D" w:rsidRPr="00873E30" w:rsidRDefault="009F087D" w:rsidP="00873E30">
            <w:pPr>
              <w:spacing w:before="240" w:after="240"/>
              <w:jc w:val="both"/>
              <w:rPr>
                <w:rFonts w:ascii="Times New Roman" w:hAnsi="Times New Roman" w:cs="Times New Roman"/>
              </w:rPr>
            </w:pPr>
          </w:p>
        </w:tc>
        <w:tc>
          <w:tcPr>
            <w:tcW w:w="925" w:type="dxa"/>
          </w:tcPr>
          <w:p w14:paraId="61B4A941" w14:textId="77777777" w:rsidR="009F087D" w:rsidRPr="00873E30" w:rsidRDefault="009F087D" w:rsidP="00873E30">
            <w:pPr>
              <w:spacing w:before="240" w:after="240"/>
              <w:jc w:val="both"/>
              <w:rPr>
                <w:rFonts w:ascii="Times New Roman" w:hAnsi="Times New Roman" w:cs="Times New Roman"/>
              </w:rPr>
            </w:pPr>
          </w:p>
        </w:tc>
      </w:tr>
      <w:tr w:rsidR="00A407A6" w:rsidRPr="00873E30" w14:paraId="714CF1F4" w14:textId="77777777" w:rsidTr="00F27C8A">
        <w:tc>
          <w:tcPr>
            <w:tcW w:w="3573" w:type="dxa"/>
          </w:tcPr>
          <w:p w14:paraId="250F93A7" w14:textId="6528E77A" w:rsidR="009F087D" w:rsidRPr="00873E30" w:rsidRDefault="009F087D" w:rsidP="00C067F8">
            <w:pPr>
              <w:spacing w:before="240" w:after="240"/>
              <w:jc w:val="both"/>
              <w:rPr>
                <w:rFonts w:ascii="Times New Roman" w:hAnsi="Times New Roman" w:cs="Times New Roman"/>
              </w:rPr>
            </w:pPr>
            <w:r>
              <w:rPr>
                <w:rFonts w:ascii="Times New Roman" w:hAnsi="Times New Roman"/>
              </w:rPr>
              <w:t>Supažindinti su informaciniu dokumentu dėl dalijimuisi duomenimis taikytinos teisės</w:t>
            </w:r>
            <w:r>
              <w:tab/>
            </w:r>
          </w:p>
        </w:tc>
        <w:tc>
          <w:tcPr>
            <w:tcW w:w="992" w:type="dxa"/>
          </w:tcPr>
          <w:p w14:paraId="61A03BD1" w14:textId="77777777" w:rsidR="009F087D" w:rsidRPr="00873E30" w:rsidRDefault="009F087D" w:rsidP="00873E30">
            <w:pPr>
              <w:spacing w:before="240" w:after="240"/>
              <w:jc w:val="both"/>
              <w:rPr>
                <w:rFonts w:ascii="Times New Roman" w:hAnsi="Times New Roman" w:cs="Times New Roman"/>
              </w:rPr>
            </w:pPr>
          </w:p>
        </w:tc>
        <w:tc>
          <w:tcPr>
            <w:tcW w:w="1276" w:type="dxa"/>
          </w:tcPr>
          <w:p w14:paraId="5B23AC12" w14:textId="77777777" w:rsidR="009F087D" w:rsidRPr="00873E30" w:rsidRDefault="009F087D" w:rsidP="00873E30">
            <w:pPr>
              <w:spacing w:before="240" w:after="240"/>
              <w:jc w:val="both"/>
              <w:rPr>
                <w:rFonts w:ascii="Times New Roman" w:hAnsi="Times New Roman" w:cs="Times New Roman"/>
              </w:rPr>
            </w:pPr>
          </w:p>
        </w:tc>
        <w:tc>
          <w:tcPr>
            <w:tcW w:w="1134" w:type="dxa"/>
          </w:tcPr>
          <w:p w14:paraId="028D2501" w14:textId="77777777" w:rsidR="009F087D" w:rsidRPr="00873E30" w:rsidRDefault="009F087D" w:rsidP="00873E30">
            <w:pPr>
              <w:spacing w:before="240" w:after="240"/>
              <w:jc w:val="both"/>
              <w:rPr>
                <w:rFonts w:ascii="Times New Roman" w:hAnsi="Times New Roman" w:cs="Times New Roman"/>
              </w:rPr>
            </w:pPr>
          </w:p>
        </w:tc>
        <w:tc>
          <w:tcPr>
            <w:tcW w:w="1025" w:type="dxa"/>
          </w:tcPr>
          <w:p w14:paraId="7BD15181" w14:textId="77777777" w:rsidR="009F087D" w:rsidRPr="00873E30" w:rsidRDefault="009F087D" w:rsidP="00873E30">
            <w:pPr>
              <w:spacing w:before="240" w:after="240"/>
              <w:jc w:val="both"/>
              <w:rPr>
                <w:rFonts w:ascii="Times New Roman" w:hAnsi="Times New Roman" w:cs="Times New Roman"/>
              </w:rPr>
            </w:pPr>
          </w:p>
        </w:tc>
        <w:tc>
          <w:tcPr>
            <w:tcW w:w="925" w:type="dxa"/>
          </w:tcPr>
          <w:p w14:paraId="2830C045" w14:textId="77777777" w:rsidR="009F087D" w:rsidRPr="00873E30" w:rsidRDefault="009F087D" w:rsidP="00873E30">
            <w:pPr>
              <w:spacing w:before="240" w:after="240"/>
              <w:jc w:val="both"/>
              <w:rPr>
                <w:rFonts w:ascii="Times New Roman" w:hAnsi="Times New Roman" w:cs="Times New Roman"/>
              </w:rPr>
            </w:pPr>
          </w:p>
        </w:tc>
      </w:tr>
      <w:tr w:rsidR="00A407A6" w:rsidRPr="00873E30" w14:paraId="3C20741A" w14:textId="6ACE1EB1" w:rsidTr="00A407A6">
        <w:tc>
          <w:tcPr>
            <w:tcW w:w="3573" w:type="dxa"/>
          </w:tcPr>
          <w:p w14:paraId="0E3F83E5" w14:textId="6D4514CD" w:rsidR="009F087D" w:rsidRPr="00873E30" w:rsidRDefault="009F087D" w:rsidP="00C067F8">
            <w:pPr>
              <w:spacing w:before="240" w:after="240"/>
              <w:jc w:val="both"/>
              <w:rPr>
                <w:rFonts w:ascii="Times New Roman" w:hAnsi="Times New Roman" w:cs="Times New Roman"/>
              </w:rPr>
            </w:pPr>
            <w:r>
              <w:rPr>
                <w:rFonts w:ascii="Times New Roman" w:hAnsi="Times New Roman"/>
              </w:rPr>
              <w:t>Supažindinti su pramonės atstovų parengtomis pavyzdinėmis sutarčių sąlygomis</w:t>
            </w:r>
            <w:r>
              <w:tab/>
            </w:r>
          </w:p>
        </w:tc>
        <w:tc>
          <w:tcPr>
            <w:tcW w:w="992" w:type="dxa"/>
          </w:tcPr>
          <w:p w14:paraId="35B3AAA7" w14:textId="77777777" w:rsidR="009F087D" w:rsidRPr="00873E30" w:rsidRDefault="009F087D" w:rsidP="00873E30">
            <w:pPr>
              <w:spacing w:before="240" w:after="240"/>
              <w:jc w:val="both"/>
              <w:rPr>
                <w:rFonts w:ascii="Times New Roman" w:hAnsi="Times New Roman" w:cs="Times New Roman"/>
              </w:rPr>
            </w:pPr>
          </w:p>
        </w:tc>
        <w:tc>
          <w:tcPr>
            <w:tcW w:w="1276" w:type="dxa"/>
          </w:tcPr>
          <w:p w14:paraId="48A6A6ED" w14:textId="77777777" w:rsidR="009F087D" w:rsidRPr="00873E30" w:rsidRDefault="009F087D" w:rsidP="00873E30">
            <w:pPr>
              <w:spacing w:before="240" w:after="240"/>
              <w:jc w:val="both"/>
              <w:rPr>
                <w:rFonts w:ascii="Times New Roman" w:hAnsi="Times New Roman" w:cs="Times New Roman"/>
              </w:rPr>
            </w:pPr>
          </w:p>
        </w:tc>
        <w:tc>
          <w:tcPr>
            <w:tcW w:w="1134" w:type="dxa"/>
          </w:tcPr>
          <w:p w14:paraId="3C5EBF45" w14:textId="77777777" w:rsidR="009F087D" w:rsidRPr="00873E30" w:rsidRDefault="009F087D" w:rsidP="00873E30">
            <w:pPr>
              <w:spacing w:before="240" w:after="240"/>
              <w:jc w:val="both"/>
              <w:rPr>
                <w:rFonts w:ascii="Times New Roman" w:hAnsi="Times New Roman" w:cs="Times New Roman"/>
              </w:rPr>
            </w:pPr>
          </w:p>
        </w:tc>
        <w:tc>
          <w:tcPr>
            <w:tcW w:w="1025" w:type="dxa"/>
          </w:tcPr>
          <w:p w14:paraId="19DC867F" w14:textId="77777777" w:rsidR="009F087D" w:rsidRPr="00873E30" w:rsidRDefault="009F087D" w:rsidP="00873E30">
            <w:pPr>
              <w:spacing w:before="240" w:after="240"/>
              <w:jc w:val="both"/>
              <w:rPr>
                <w:rFonts w:ascii="Times New Roman" w:hAnsi="Times New Roman" w:cs="Times New Roman"/>
              </w:rPr>
            </w:pPr>
          </w:p>
        </w:tc>
        <w:tc>
          <w:tcPr>
            <w:tcW w:w="925" w:type="dxa"/>
          </w:tcPr>
          <w:p w14:paraId="007C64B7" w14:textId="77777777" w:rsidR="009F087D" w:rsidRPr="00873E30" w:rsidRDefault="009F087D" w:rsidP="00873E30">
            <w:pPr>
              <w:spacing w:before="240" w:after="240"/>
              <w:jc w:val="both"/>
              <w:rPr>
                <w:rFonts w:ascii="Times New Roman" w:hAnsi="Times New Roman" w:cs="Times New Roman"/>
              </w:rPr>
            </w:pPr>
          </w:p>
        </w:tc>
      </w:tr>
      <w:tr w:rsidR="00A407A6" w:rsidRPr="00873E30" w14:paraId="2AB6FE34" w14:textId="3F30700F" w:rsidTr="00A407A6">
        <w:tc>
          <w:tcPr>
            <w:tcW w:w="3573" w:type="dxa"/>
          </w:tcPr>
          <w:p w14:paraId="4412EB9A" w14:textId="0E3BE261" w:rsidR="009F087D" w:rsidRPr="00873E30" w:rsidRDefault="009F087D" w:rsidP="00C067F8">
            <w:pPr>
              <w:spacing w:before="240" w:after="240"/>
              <w:jc w:val="both"/>
              <w:rPr>
                <w:rFonts w:ascii="Times New Roman" w:hAnsi="Times New Roman" w:cs="Times New Roman"/>
              </w:rPr>
            </w:pPr>
            <w:r>
              <w:rPr>
                <w:rFonts w:ascii="Times New Roman" w:hAnsi="Times New Roman"/>
              </w:rPr>
              <w:t>Parengti naujas pavyzdines sutarčių sąlygas konkretiems sektoriams, vertės grandinėms ar tokias, kurios būtų aktualios keliems sektoriams</w:t>
            </w:r>
            <w:r>
              <w:tab/>
            </w:r>
          </w:p>
        </w:tc>
        <w:tc>
          <w:tcPr>
            <w:tcW w:w="992" w:type="dxa"/>
          </w:tcPr>
          <w:p w14:paraId="24E54AD7" w14:textId="77777777" w:rsidR="009F087D" w:rsidRPr="00873E30" w:rsidRDefault="009F087D" w:rsidP="00873E30">
            <w:pPr>
              <w:spacing w:before="240" w:after="240"/>
              <w:jc w:val="both"/>
              <w:rPr>
                <w:rFonts w:ascii="Times New Roman" w:hAnsi="Times New Roman" w:cs="Times New Roman"/>
              </w:rPr>
            </w:pPr>
          </w:p>
        </w:tc>
        <w:tc>
          <w:tcPr>
            <w:tcW w:w="1276" w:type="dxa"/>
          </w:tcPr>
          <w:p w14:paraId="0B74D00F" w14:textId="77777777" w:rsidR="009F087D" w:rsidRPr="00873E30" w:rsidRDefault="009F087D" w:rsidP="00873E30">
            <w:pPr>
              <w:spacing w:before="240" w:after="240"/>
              <w:jc w:val="both"/>
              <w:rPr>
                <w:rFonts w:ascii="Times New Roman" w:hAnsi="Times New Roman" w:cs="Times New Roman"/>
              </w:rPr>
            </w:pPr>
          </w:p>
        </w:tc>
        <w:tc>
          <w:tcPr>
            <w:tcW w:w="1134" w:type="dxa"/>
          </w:tcPr>
          <w:p w14:paraId="1B5E7A89" w14:textId="77777777" w:rsidR="009F087D" w:rsidRPr="00873E30" w:rsidRDefault="009F087D" w:rsidP="00873E30">
            <w:pPr>
              <w:spacing w:before="240" w:after="240"/>
              <w:jc w:val="both"/>
              <w:rPr>
                <w:rFonts w:ascii="Times New Roman" w:hAnsi="Times New Roman" w:cs="Times New Roman"/>
              </w:rPr>
            </w:pPr>
          </w:p>
        </w:tc>
        <w:tc>
          <w:tcPr>
            <w:tcW w:w="1025" w:type="dxa"/>
          </w:tcPr>
          <w:p w14:paraId="128F9E42" w14:textId="77777777" w:rsidR="009F087D" w:rsidRPr="00873E30" w:rsidRDefault="009F087D" w:rsidP="00873E30">
            <w:pPr>
              <w:spacing w:before="240" w:after="240"/>
              <w:jc w:val="both"/>
              <w:rPr>
                <w:rFonts w:ascii="Times New Roman" w:hAnsi="Times New Roman" w:cs="Times New Roman"/>
              </w:rPr>
            </w:pPr>
          </w:p>
        </w:tc>
        <w:tc>
          <w:tcPr>
            <w:tcW w:w="925" w:type="dxa"/>
          </w:tcPr>
          <w:p w14:paraId="4047D667" w14:textId="77777777" w:rsidR="009F087D" w:rsidRPr="00873E30" w:rsidRDefault="009F087D" w:rsidP="00873E30">
            <w:pPr>
              <w:spacing w:before="240" w:after="240"/>
              <w:jc w:val="both"/>
              <w:rPr>
                <w:rFonts w:ascii="Times New Roman" w:hAnsi="Times New Roman" w:cs="Times New Roman"/>
              </w:rPr>
            </w:pPr>
          </w:p>
        </w:tc>
      </w:tr>
      <w:tr w:rsidR="00A407A6" w:rsidRPr="00873E30" w14:paraId="4D861A52" w14:textId="77777777" w:rsidTr="00F27C8A">
        <w:tc>
          <w:tcPr>
            <w:tcW w:w="3573" w:type="dxa"/>
          </w:tcPr>
          <w:p w14:paraId="7C0A090E" w14:textId="2A6857EA" w:rsidR="009F087D" w:rsidRPr="00873E30" w:rsidRDefault="009F087D" w:rsidP="00C067F8">
            <w:pPr>
              <w:spacing w:before="240" w:after="240"/>
              <w:jc w:val="both"/>
              <w:rPr>
                <w:rFonts w:ascii="Times New Roman" w:hAnsi="Times New Roman" w:cs="Times New Roman"/>
              </w:rPr>
            </w:pPr>
            <w:r>
              <w:rPr>
                <w:rFonts w:ascii="Times New Roman" w:hAnsi="Times New Roman"/>
              </w:rPr>
              <w:t>Parengti gaires, kuriose būtų paaiškinama, kaip turėtų būti kuriamos taikomųjų programų sąsajos (API) ir tvarkomos sąsajos su tokių API naudotojais (įskaitant pavyzdinių naudojimosi API sąlygomis kūrimą [API licencija])</w:t>
            </w:r>
            <w:r>
              <w:tab/>
            </w:r>
          </w:p>
        </w:tc>
        <w:tc>
          <w:tcPr>
            <w:tcW w:w="992" w:type="dxa"/>
          </w:tcPr>
          <w:p w14:paraId="280A603D" w14:textId="77777777" w:rsidR="009F087D" w:rsidRPr="00873E30" w:rsidRDefault="009F087D" w:rsidP="00873E30">
            <w:pPr>
              <w:spacing w:before="240" w:after="240"/>
              <w:jc w:val="both"/>
              <w:rPr>
                <w:rFonts w:ascii="Times New Roman" w:hAnsi="Times New Roman" w:cs="Times New Roman"/>
              </w:rPr>
            </w:pPr>
          </w:p>
        </w:tc>
        <w:tc>
          <w:tcPr>
            <w:tcW w:w="1276" w:type="dxa"/>
          </w:tcPr>
          <w:p w14:paraId="311ACB45" w14:textId="77777777" w:rsidR="009F087D" w:rsidRPr="00873E30" w:rsidRDefault="009F087D" w:rsidP="00873E30">
            <w:pPr>
              <w:spacing w:before="240" w:after="240"/>
              <w:jc w:val="both"/>
              <w:rPr>
                <w:rFonts w:ascii="Times New Roman" w:hAnsi="Times New Roman" w:cs="Times New Roman"/>
              </w:rPr>
            </w:pPr>
          </w:p>
        </w:tc>
        <w:tc>
          <w:tcPr>
            <w:tcW w:w="1134" w:type="dxa"/>
          </w:tcPr>
          <w:p w14:paraId="6BF4D800" w14:textId="77777777" w:rsidR="009F087D" w:rsidRPr="00873E30" w:rsidRDefault="009F087D" w:rsidP="00873E30">
            <w:pPr>
              <w:spacing w:before="240" w:after="240"/>
              <w:jc w:val="both"/>
              <w:rPr>
                <w:rFonts w:ascii="Times New Roman" w:hAnsi="Times New Roman" w:cs="Times New Roman"/>
              </w:rPr>
            </w:pPr>
          </w:p>
        </w:tc>
        <w:tc>
          <w:tcPr>
            <w:tcW w:w="1025" w:type="dxa"/>
          </w:tcPr>
          <w:p w14:paraId="2B0F7236" w14:textId="77777777" w:rsidR="009F087D" w:rsidRPr="00873E30" w:rsidRDefault="009F087D" w:rsidP="00873E30">
            <w:pPr>
              <w:spacing w:before="240" w:after="240"/>
              <w:jc w:val="both"/>
              <w:rPr>
                <w:rFonts w:ascii="Times New Roman" w:hAnsi="Times New Roman" w:cs="Times New Roman"/>
              </w:rPr>
            </w:pPr>
          </w:p>
        </w:tc>
        <w:tc>
          <w:tcPr>
            <w:tcW w:w="925" w:type="dxa"/>
          </w:tcPr>
          <w:p w14:paraId="0A9D3EFD" w14:textId="77777777" w:rsidR="009F087D" w:rsidRPr="00873E30" w:rsidRDefault="009F087D" w:rsidP="00873E30">
            <w:pPr>
              <w:spacing w:before="240" w:after="240"/>
              <w:jc w:val="both"/>
              <w:rPr>
                <w:rFonts w:ascii="Times New Roman" w:hAnsi="Times New Roman" w:cs="Times New Roman"/>
              </w:rPr>
            </w:pPr>
          </w:p>
        </w:tc>
      </w:tr>
      <w:tr w:rsidR="00A407A6" w:rsidRPr="00873E30" w14:paraId="5F2A36FF" w14:textId="77777777" w:rsidTr="00F27C8A">
        <w:tc>
          <w:tcPr>
            <w:tcW w:w="3573" w:type="dxa"/>
          </w:tcPr>
          <w:p w14:paraId="1A72FD5D" w14:textId="00017A16" w:rsidR="009F087D" w:rsidRPr="00873E30" w:rsidRDefault="009F087D" w:rsidP="00C067F8">
            <w:pPr>
              <w:spacing w:before="240" w:after="240"/>
              <w:jc w:val="both"/>
              <w:rPr>
                <w:rFonts w:ascii="Times New Roman" w:hAnsi="Times New Roman" w:cs="Times New Roman"/>
              </w:rPr>
            </w:pPr>
            <w:r>
              <w:rPr>
                <w:rFonts w:ascii="Times New Roman" w:hAnsi="Times New Roman"/>
              </w:rPr>
              <w:t>Parengti gaires, kuriose būtų paaiškinama, kaip, dalijantis duomenimis, užtikrinti tų duomenų saugumą</w:t>
            </w:r>
          </w:p>
        </w:tc>
        <w:tc>
          <w:tcPr>
            <w:tcW w:w="992" w:type="dxa"/>
          </w:tcPr>
          <w:p w14:paraId="486E9780" w14:textId="77777777" w:rsidR="009F087D" w:rsidRPr="00873E30" w:rsidRDefault="009F087D" w:rsidP="00873E30">
            <w:pPr>
              <w:spacing w:before="240" w:after="240"/>
              <w:jc w:val="both"/>
              <w:rPr>
                <w:rFonts w:ascii="Times New Roman" w:hAnsi="Times New Roman" w:cs="Times New Roman"/>
              </w:rPr>
            </w:pPr>
          </w:p>
        </w:tc>
        <w:tc>
          <w:tcPr>
            <w:tcW w:w="1276" w:type="dxa"/>
          </w:tcPr>
          <w:p w14:paraId="55B6E49D" w14:textId="77777777" w:rsidR="009F087D" w:rsidRPr="00873E30" w:rsidRDefault="009F087D" w:rsidP="00873E30">
            <w:pPr>
              <w:spacing w:before="240" w:after="240"/>
              <w:jc w:val="both"/>
              <w:rPr>
                <w:rFonts w:ascii="Times New Roman" w:hAnsi="Times New Roman" w:cs="Times New Roman"/>
              </w:rPr>
            </w:pPr>
          </w:p>
        </w:tc>
        <w:tc>
          <w:tcPr>
            <w:tcW w:w="1134" w:type="dxa"/>
          </w:tcPr>
          <w:p w14:paraId="646D3014" w14:textId="77777777" w:rsidR="009F087D" w:rsidRPr="00873E30" w:rsidRDefault="009F087D" w:rsidP="00873E30">
            <w:pPr>
              <w:spacing w:before="240" w:after="240"/>
              <w:jc w:val="both"/>
              <w:rPr>
                <w:rFonts w:ascii="Times New Roman" w:hAnsi="Times New Roman" w:cs="Times New Roman"/>
              </w:rPr>
            </w:pPr>
          </w:p>
        </w:tc>
        <w:tc>
          <w:tcPr>
            <w:tcW w:w="1025" w:type="dxa"/>
          </w:tcPr>
          <w:p w14:paraId="4BDA4F53" w14:textId="77777777" w:rsidR="009F087D" w:rsidRPr="00873E30" w:rsidRDefault="009F087D" w:rsidP="00873E30">
            <w:pPr>
              <w:spacing w:before="240" w:after="240"/>
              <w:jc w:val="both"/>
              <w:rPr>
                <w:rFonts w:ascii="Times New Roman" w:hAnsi="Times New Roman" w:cs="Times New Roman"/>
              </w:rPr>
            </w:pPr>
          </w:p>
        </w:tc>
        <w:tc>
          <w:tcPr>
            <w:tcW w:w="925" w:type="dxa"/>
          </w:tcPr>
          <w:p w14:paraId="1121F7C0" w14:textId="77777777" w:rsidR="009F087D" w:rsidRPr="00873E30" w:rsidRDefault="009F087D" w:rsidP="00873E30">
            <w:pPr>
              <w:spacing w:before="240" w:after="240"/>
              <w:jc w:val="both"/>
              <w:rPr>
                <w:rFonts w:ascii="Times New Roman" w:hAnsi="Times New Roman" w:cs="Times New Roman"/>
              </w:rPr>
            </w:pPr>
          </w:p>
        </w:tc>
      </w:tr>
      <w:tr w:rsidR="00A407A6" w:rsidRPr="00873E30" w14:paraId="7190FFD4" w14:textId="77777777" w:rsidTr="00F27C8A">
        <w:tc>
          <w:tcPr>
            <w:tcW w:w="3573" w:type="dxa"/>
          </w:tcPr>
          <w:p w14:paraId="21F7290E" w14:textId="53B55BCF" w:rsidR="00A407A6" w:rsidRPr="009F087D" w:rsidRDefault="00A407A6" w:rsidP="00C067F8">
            <w:pPr>
              <w:spacing w:before="240" w:after="240"/>
              <w:jc w:val="both"/>
              <w:rPr>
                <w:rFonts w:ascii="Times New Roman" w:hAnsi="Times New Roman" w:cs="Times New Roman"/>
              </w:rPr>
            </w:pPr>
            <w:r>
              <w:rPr>
                <w:rFonts w:ascii="Times New Roman" w:hAnsi="Times New Roman"/>
              </w:rPr>
              <w:t>Parengti gaires, kuriose būtų paaiškinama, kaip, jau pasidalijus duomenimis, pagerinti tų duomenų naudojimo atsekamumą</w:t>
            </w:r>
          </w:p>
        </w:tc>
        <w:tc>
          <w:tcPr>
            <w:tcW w:w="992" w:type="dxa"/>
          </w:tcPr>
          <w:p w14:paraId="21EEB78F" w14:textId="77777777" w:rsidR="00A407A6" w:rsidRPr="00873E30" w:rsidRDefault="00A407A6" w:rsidP="00873E30">
            <w:pPr>
              <w:spacing w:before="240" w:after="240"/>
              <w:jc w:val="both"/>
              <w:rPr>
                <w:rFonts w:ascii="Times New Roman" w:hAnsi="Times New Roman" w:cs="Times New Roman"/>
              </w:rPr>
            </w:pPr>
          </w:p>
        </w:tc>
        <w:tc>
          <w:tcPr>
            <w:tcW w:w="1276" w:type="dxa"/>
          </w:tcPr>
          <w:p w14:paraId="5E04A8A3" w14:textId="77777777" w:rsidR="00A407A6" w:rsidRPr="00873E30" w:rsidRDefault="00A407A6" w:rsidP="00873E30">
            <w:pPr>
              <w:spacing w:before="240" w:after="240"/>
              <w:jc w:val="both"/>
              <w:rPr>
                <w:rFonts w:ascii="Times New Roman" w:hAnsi="Times New Roman" w:cs="Times New Roman"/>
              </w:rPr>
            </w:pPr>
          </w:p>
        </w:tc>
        <w:tc>
          <w:tcPr>
            <w:tcW w:w="1134" w:type="dxa"/>
          </w:tcPr>
          <w:p w14:paraId="73C65E30" w14:textId="77777777" w:rsidR="00A407A6" w:rsidRPr="00873E30" w:rsidRDefault="00A407A6" w:rsidP="00873E30">
            <w:pPr>
              <w:spacing w:before="240" w:after="240"/>
              <w:jc w:val="both"/>
              <w:rPr>
                <w:rFonts w:ascii="Times New Roman" w:hAnsi="Times New Roman" w:cs="Times New Roman"/>
              </w:rPr>
            </w:pPr>
          </w:p>
        </w:tc>
        <w:tc>
          <w:tcPr>
            <w:tcW w:w="1025" w:type="dxa"/>
          </w:tcPr>
          <w:p w14:paraId="1C1843A3" w14:textId="77777777" w:rsidR="00A407A6" w:rsidRPr="00873E30" w:rsidRDefault="00A407A6" w:rsidP="00873E30">
            <w:pPr>
              <w:spacing w:before="240" w:after="240"/>
              <w:jc w:val="both"/>
              <w:rPr>
                <w:rFonts w:ascii="Times New Roman" w:hAnsi="Times New Roman" w:cs="Times New Roman"/>
              </w:rPr>
            </w:pPr>
          </w:p>
        </w:tc>
        <w:tc>
          <w:tcPr>
            <w:tcW w:w="925" w:type="dxa"/>
          </w:tcPr>
          <w:p w14:paraId="69E782C7" w14:textId="77777777" w:rsidR="00A407A6" w:rsidRPr="00873E30" w:rsidRDefault="00A407A6" w:rsidP="00873E30">
            <w:pPr>
              <w:spacing w:before="240" w:after="240"/>
              <w:jc w:val="both"/>
              <w:rPr>
                <w:rFonts w:ascii="Times New Roman" w:hAnsi="Times New Roman" w:cs="Times New Roman"/>
              </w:rPr>
            </w:pPr>
          </w:p>
        </w:tc>
      </w:tr>
    </w:tbl>
    <w:p w14:paraId="096F4B9F" w14:textId="5BB3A169" w:rsidR="00CA2AB3" w:rsidRPr="00F27C8A" w:rsidRDefault="00CA2AB3" w:rsidP="00F27C8A">
      <w:pPr>
        <w:spacing w:before="240" w:after="240"/>
        <w:jc w:val="both"/>
        <w:rPr>
          <w:rFonts w:ascii="Times New Roman" w:hAnsi="Times New Roman" w:cs="Times New Roman"/>
        </w:rPr>
      </w:pPr>
    </w:p>
    <w:p w14:paraId="155108A0" w14:textId="77777777" w:rsidR="009F087D" w:rsidRDefault="005C488F" w:rsidP="00F27C8A">
      <w:pPr>
        <w:pStyle w:val="ListParagraph"/>
        <w:numPr>
          <w:ilvl w:val="0"/>
          <w:numId w:val="11"/>
        </w:numPr>
        <w:spacing w:before="240" w:after="240"/>
        <w:contextualSpacing w:val="0"/>
        <w:jc w:val="both"/>
        <w:rPr>
          <w:rFonts w:ascii="Times New Roman" w:hAnsi="Times New Roman" w:cs="Times New Roman"/>
        </w:rPr>
      </w:pPr>
      <w:r>
        <w:rPr>
          <w:rFonts w:ascii="Times New Roman" w:hAnsi="Times New Roman"/>
        </w:rPr>
        <w:t>Kokie dar dokumentai arba paslaugos būtų jums naudingi:</w:t>
      </w:r>
    </w:p>
    <w:p w14:paraId="53C97887" w14:textId="5E0E40F2" w:rsidR="009F087D" w:rsidRPr="00F27C8A" w:rsidRDefault="009F087D" w:rsidP="00F27C8A">
      <w:pPr>
        <w:pStyle w:val="ListParagraph"/>
        <w:spacing w:before="240" w:after="240"/>
        <w:contextualSpacing w:val="0"/>
        <w:jc w:val="both"/>
        <w:rPr>
          <w:rFonts w:ascii="Times New Roman" w:hAnsi="Times New Roman" w:cs="Times New Roman"/>
        </w:rPr>
      </w:pPr>
    </w:p>
    <w:sectPr w:rsidR="009F087D" w:rsidRPr="00F27C8A" w:rsidSect="003146D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DB68D" w14:textId="77777777" w:rsidR="00EC071B" w:rsidRDefault="00EC071B" w:rsidP="00823008">
      <w:pPr>
        <w:spacing w:after="0" w:line="240" w:lineRule="auto"/>
      </w:pPr>
      <w:r>
        <w:separator/>
      </w:r>
    </w:p>
  </w:endnote>
  <w:endnote w:type="continuationSeparator" w:id="0">
    <w:p w14:paraId="02257C45" w14:textId="77777777" w:rsidR="00EC071B" w:rsidRDefault="00EC071B" w:rsidP="00823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F6613" w14:textId="77777777" w:rsidR="00EC071B" w:rsidRDefault="00EC071B" w:rsidP="00823008">
      <w:pPr>
        <w:spacing w:after="0" w:line="240" w:lineRule="auto"/>
      </w:pPr>
      <w:r>
        <w:separator/>
      </w:r>
    </w:p>
  </w:footnote>
  <w:footnote w:type="continuationSeparator" w:id="0">
    <w:p w14:paraId="2B38758E" w14:textId="77777777" w:rsidR="00EC071B" w:rsidRDefault="00EC071B" w:rsidP="00823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2DF"/>
    <w:multiLevelType w:val="hybridMultilevel"/>
    <w:tmpl w:val="9E965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47E87"/>
    <w:multiLevelType w:val="hybridMultilevel"/>
    <w:tmpl w:val="D4DE01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9C1625"/>
    <w:multiLevelType w:val="hybridMultilevel"/>
    <w:tmpl w:val="CE145E20"/>
    <w:lvl w:ilvl="0" w:tplc="CF62963C">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90B5F"/>
    <w:multiLevelType w:val="hybridMultilevel"/>
    <w:tmpl w:val="9E965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725F4"/>
    <w:multiLevelType w:val="hybridMultilevel"/>
    <w:tmpl w:val="758E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13489"/>
    <w:multiLevelType w:val="hybridMultilevel"/>
    <w:tmpl w:val="4394E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790BBE"/>
    <w:multiLevelType w:val="hybridMultilevel"/>
    <w:tmpl w:val="E3CC8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94603"/>
    <w:multiLevelType w:val="hybridMultilevel"/>
    <w:tmpl w:val="61661D72"/>
    <w:lvl w:ilvl="0" w:tplc="080C0003">
      <w:start w:val="1"/>
      <w:numFmt w:val="bullet"/>
      <w:lvlText w:val="o"/>
      <w:lvlJc w:val="left"/>
      <w:pPr>
        <w:ind w:left="1210" w:hanging="360"/>
      </w:pPr>
      <w:rPr>
        <w:rFonts w:ascii="Courier New" w:hAnsi="Courier New" w:cs="Courier New" w:hint="default"/>
      </w:rPr>
    </w:lvl>
    <w:lvl w:ilvl="1" w:tplc="080C0003" w:tentative="1">
      <w:start w:val="1"/>
      <w:numFmt w:val="bullet"/>
      <w:lvlText w:val="o"/>
      <w:lvlJc w:val="left"/>
      <w:pPr>
        <w:ind w:left="1930" w:hanging="360"/>
      </w:pPr>
      <w:rPr>
        <w:rFonts w:ascii="Courier New" w:hAnsi="Courier New" w:cs="Courier New" w:hint="default"/>
      </w:rPr>
    </w:lvl>
    <w:lvl w:ilvl="2" w:tplc="080C0005" w:tentative="1">
      <w:start w:val="1"/>
      <w:numFmt w:val="bullet"/>
      <w:lvlText w:val=""/>
      <w:lvlJc w:val="left"/>
      <w:pPr>
        <w:ind w:left="2650" w:hanging="360"/>
      </w:pPr>
      <w:rPr>
        <w:rFonts w:ascii="Wingdings" w:hAnsi="Wingdings" w:hint="default"/>
      </w:rPr>
    </w:lvl>
    <w:lvl w:ilvl="3" w:tplc="080C0001" w:tentative="1">
      <w:start w:val="1"/>
      <w:numFmt w:val="bullet"/>
      <w:lvlText w:val=""/>
      <w:lvlJc w:val="left"/>
      <w:pPr>
        <w:ind w:left="3370" w:hanging="360"/>
      </w:pPr>
      <w:rPr>
        <w:rFonts w:ascii="Symbol" w:hAnsi="Symbol" w:hint="default"/>
      </w:rPr>
    </w:lvl>
    <w:lvl w:ilvl="4" w:tplc="080C0003" w:tentative="1">
      <w:start w:val="1"/>
      <w:numFmt w:val="bullet"/>
      <w:lvlText w:val="o"/>
      <w:lvlJc w:val="left"/>
      <w:pPr>
        <w:ind w:left="4090" w:hanging="360"/>
      </w:pPr>
      <w:rPr>
        <w:rFonts w:ascii="Courier New" w:hAnsi="Courier New" w:cs="Courier New" w:hint="default"/>
      </w:rPr>
    </w:lvl>
    <w:lvl w:ilvl="5" w:tplc="080C0005" w:tentative="1">
      <w:start w:val="1"/>
      <w:numFmt w:val="bullet"/>
      <w:lvlText w:val=""/>
      <w:lvlJc w:val="left"/>
      <w:pPr>
        <w:ind w:left="4810" w:hanging="360"/>
      </w:pPr>
      <w:rPr>
        <w:rFonts w:ascii="Wingdings" w:hAnsi="Wingdings" w:hint="default"/>
      </w:rPr>
    </w:lvl>
    <w:lvl w:ilvl="6" w:tplc="080C0001" w:tentative="1">
      <w:start w:val="1"/>
      <w:numFmt w:val="bullet"/>
      <w:lvlText w:val=""/>
      <w:lvlJc w:val="left"/>
      <w:pPr>
        <w:ind w:left="5530" w:hanging="360"/>
      </w:pPr>
      <w:rPr>
        <w:rFonts w:ascii="Symbol" w:hAnsi="Symbol" w:hint="default"/>
      </w:rPr>
    </w:lvl>
    <w:lvl w:ilvl="7" w:tplc="080C0003" w:tentative="1">
      <w:start w:val="1"/>
      <w:numFmt w:val="bullet"/>
      <w:lvlText w:val="o"/>
      <w:lvlJc w:val="left"/>
      <w:pPr>
        <w:ind w:left="6250" w:hanging="360"/>
      </w:pPr>
      <w:rPr>
        <w:rFonts w:ascii="Courier New" w:hAnsi="Courier New" w:cs="Courier New" w:hint="default"/>
      </w:rPr>
    </w:lvl>
    <w:lvl w:ilvl="8" w:tplc="080C0005" w:tentative="1">
      <w:start w:val="1"/>
      <w:numFmt w:val="bullet"/>
      <w:lvlText w:val=""/>
      <w:lvlJc w:val="left"/>
      <w:pPr>
        <w:ind w:left="6970" w:hanging="360"/>
      </w:pPr>
      <w:rPr>
        <w:rFonts w:ascii="Wingdings" w:hAnsi="Wingdings" w:hint="default"/>
      </w:rPr>
    </w:lvl>
  </w:abstractNum>
  <w:abstractNum w:abstractNumId="8" w15:restartNumberingAfterBreak="0">
    <w:nsid w:val="12A3398A"/>
    <w:multiLevelType w:val="hybridMultilevel"/>
    <w:tmpl w:val="6118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91824"/>
    <w:multiLevelType w:val="hybridMultilevel"/>
    <w:tmpl w:val="BA748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844F52"/>
    <w:multiLevelType w:val="hybridMultilevel"/>
    <w:tmpl w:val="A3FC80F4"/>
    <w:lvl w:ilvl="0" w:tplc="CF62963C">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B51EFD"/>
    <w:multiLevelType w:val="hybridMultilevel"/>
    <w:tmpl w:val="02083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140DDE"/>
    <w:multiLevelType w:val="hybridMultilevel"/>
    <w:tmpl w:val="7CB8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F310D"/>
    <w:multiLevelType w:val="hybridMultilevel"/>
    <w:tmpl w:val="D4D4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F533B"/>
    <w:multiLevelType w:val="hybridMultilevel"/>
    <w:tmpl w:val="82488B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4C56F3"/>
    <w:multiLevelType w:val="hybridMultilevel"/>
    <w:tmpl w:val="5A142EC0"/>
    <w:lvl w:ilvl="0" w:tplc="080C0015">
      <w:start w:val="3"/>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F750466"/>
    <w:multiLevelType w:val="hybridMultilevel"/>
    <w:tmpl w:val="B6A0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F2AE9"/>
    <w:multiLevelType w:val="hybridMultilevel"/>
    <w:tmpl w:val="D98A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757498"/>
    <w:multiLevelType w:val="hybridMultilevel"/>
    <w:tmpl w:val="93E2E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0A54EE"/>
    <w:multiLevelType w:val="hybridMultilevel"/>
    <w:tmpl w:val="08FCEAB0"/>
    <w:lvl w:ilvl="0" w:tplc="CF62963C">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F814BD"/>
    <w:multiLevelType w:val="hybridMultilevel"/>
    <w:tmpl w:val="77A8004E"/>
    <w:lvl w:ilvl="0" w:tplc="CF62963C">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DD425B"/>
    <w:multiLevelType w:val="hybridMultilevel"/>
    <w:tmpl w:val="29DC6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20"/>
  </w:num>
  <w:num w:numId="4">
    <w:abstractNumId w:val="10"/>
  </w:num>
  <w:num w:numId="5">
    <w:abstractNumId w:val="19"/>
  </w:num>
  <w:num w:numId="6">
    <w:abstractNumId w:val="2"/>
  </w:num>
  <w:num w:numId="7">
    <w:abstractNumId w:val="12"/>
  </w:num>
  <w:num w:numId="8">
    <w:abstractNumId w:val="13"/>
  </w:num>
  <w:num w:numId="9">
    <w:abstractNumId w:val="16"/>
  </w:num>
  <w:num w:numId="10">
    <w:abstractNumId w:val="18"/>
  </w:num>
  <w:num w:numId="11">
    <w:abstractNumId w:val="1"/>
  </w:num>
  <w:num w:numId="12">
    <w:abstractNumId w:val="17"/>
  </w:num>
  <w:num w:numId="13">
    <w:abstractNumId w:val="21"/>
  </w:num>
  <w:num w:numId="14">
    <w:abstractNumId w:val="11"/>
  </w:num>
  <w:num w:numId="15">
    <w:abstractNumId w:val="6"/>
  </w:num>
  <w:num w:numId="16">
    <w:abstractNumId w:val="5"/>
  </w:num>
  <w:num w:numId="17">
    <w:abstractNumId w:val="9"/>
  </w:num>
  <w:num w:numId="18">
    <w:abstractNumId w:val="3"/>
  </w:num>
  <w:num w:numId="19">
    <w:abstractNumId w:val="0"/>
  </w:num>
  <w:num w:numId="20">
    <w:abstractNumId w:val="14"/>
  </w:num>
  <w:num w:numId="21">
    <w:abstractNumId w:val="8"/>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A2AB3"/>
    <w:rsid w:val="00020081"/>
    <w:rsid w:val="000419A9"/>
    <w:rsid w:val="00064A6E"/>
    <w:rsid w:val="0008464B"/>
    <w:rsid w:val="000A1F3A"/>
    <w:rsid w:val="000A6021"/>
    <w:rsid w:val="000B06B0"/>
    <w:rsid w:val="000B676B"/>
    <w:rsid w:val="000E0357"/>
    <w:rsid w:val="00140F29"/>
    <w:rsid w:val="001471D9"/>
    <w:rsid w:val="00186004"/>
    <w:rsid w:val="001C1CA6"/>
    <w:rsid w:val="001C747C"/>
    <w:rsid w:val="001D3C97"/>
    <w:rsid w:val="001E5A78"/>
    <w:rsid w:val="001F1AEC"/>
    <w:rsid w:val="002013B9"/>
    <w:rsid w:val="00214AC9"/>
    <w:rsid w:val="0026750E"/>
    <w:rsid w:val="00285583"/>
    <w:rsid w:val="00297AD0"/>
    <w:rsid w:val="002B5F51"/>
    <w:rsid w:val="002D7AA7"/>
    <w:rsid w:val="002E5ADD"/>
    <w:rsid w:val="00307B36"/>
    <w:rsid w:val="003146DF"/>
    <w:rsid w:val="00347679"/>
    <w:rsid w:val="00362C89"/>
    <w:rsid w:val="0036388B"/>
    <w:rsid w:val="00387437"/>
    <w:rsid w:val="0039278C"/>
    <w:rsid w:val="003A69FC"/>
    <w:rsid w:val="003C0B06"/>
    <w:rsid w:val="00402AE3"/>
    <w:rsid w:val="0041554D"/>
    <w:rsid w:val="004A00E0"/>
    <w:rsid w:val="004B26DF"/>
    <w:rsid w:val="004D06D6"/>
    <w:rsid w:val="004D0E7D"/>
    <w:rsid w:val="005611CD"/>
    <w:rsid w:val="0056596D"/>
    <w:rsid w:val="0057097E"/>
    <w:rsid w:val="005A3DCE"/>
    <w:rsid w:val="005C0732"/>
    <w:rsid w:val="005C488F"/>
    <w:rsid w:val="005D524B"/>
    <w:rsid w:val="005E7CC1"/>
    <w:rsid w:val="006127F4"/>
    <w:rsid w:val="006211A9"/>
    <w:rsid w:val="00623618"/>
    <w:rsid w:val="00636138"/>
    <w:rsid w:val="00664962"/>
    <w:rsid w:val="006A25DE"/>
    <w:rsid w:val="006C2A38"/>
    <w:rsid w:val="006E16D5"/>
    <w:rsid w:val="007101DF"/>
    <w:rsid w:val="0073092E"/>
    <w:rsid w:val="00732CFA"/>
    <w:rsid w:val="00766CC8"/>
    <w:rsid w:val="0078214D"/>
    <w:rsid w:val="00797C83"/>
    <w:rsid w:val="007A20D1"/>
    <w:rsid w:val="007A2EB2"/>
    <w:rsid w:val="008046CB"/>
    <w:rsid w:val="00817569"/>
    <w:rsid w:val="00823008"/>
    <w:rsid w:val="00841A60"/>
    <w:rsid w:val="00847F24"/>
    <w:rsid w:val="008C580D"/>
    <w:rsid w:val="008D257A"/>
    <w:rsid w:val="00922D9A"/>
    <w:rsid w:val="00955D45"/>
    <w:rsid w:val="009646CE"/>
    <w:rsid w:val="00970E40"/>
    <w:rsid w:val="00975222"/>
    <w:rsid w:val="00982FAB"/>
    <w:rsid w:val="009F087D"/>
    <w:rsid w:val="009F263B"/>
    <w:rsid w:val="00A07B98"/>
    <w:rsid w:val="00A27D80"/>
    <w:rsid w:val="00A407A6"/>
    <w:rsid w:val="00A6378D"/>
    <w:rsid w:val="00AE16E1"/>
    <w:rsid w:val="00AF4E8F"/>
    <w:rsid w:val="00AF5E79"/>
    <w:rsid w:val="00B1390B"/>
    <w:rsid w:val="00B354BC"/>
    <w:rsid w:val="00B378FF"/>
    <w:rsid w:val="00B502D8"/>
    <w:rsid w:val="00B644CE"/>
    <w:rsid w:val="00B75D6F"/>
    <w:rsid w:val="00B91165"/>
    <w:rsid w:val="00B92C9C"/>
    <w:rsid w:val="00BB6A20"/>
    <w:rsid w:val="00BE2F27"/>
    <w:rsid w:val="00BF474E"/>
    <w:rsid w:val="00C067F8"/>
    <w:rsid w:val="00C12087"/>
    <w:rsid w:val="00C1297B"/>
    <w:rsid w:val="00C84A7A"/>
    <w:rsid w:val="00CA2AB3"/>
    <w:rsid w:val="00CB31BD"/>
    <w:rsid w:val="00CB37E0"/>
    <w:rsid w:val="00CB407F"/>
    <w:rsid w:val="00CD50A0"/>
    <w:rsid w:val="00CE1D70"/>
    <w:rsid w:val="00D01D37"/>
    <w:rsid w:val="00D2266E"/>
    <w:rsid w:val="00D25675"/>
    <w:rsid w:val="00D26937"/>
    <w:rsid w:val="00D51497"/>
    <w:rsid w:val="00D7790B"/>
    <w:rsid w:val="00D8790C"/>
    <w:rsid w:val="00E0469E"/>
    <w:rsid w:val="00E06843"/>
    <w:rsid w:val="00E10128"/>
    <w:rsid w:val="00E577F7"/>
    <w:rsid w:val="00E84E33"/>
    <w:rsid w:val="00E93556"/>
    <w:rsid w:val="00EC071B"/>
    <w:rsid w:val="00EC4B27"/>
    <w:rsid w:val="00EF5D44"/>
    <w:rsid w:val="00F07A1B"/>
    <w:rsid w:val="00F27C8A"/>
    <w:rsid w:val="00F43A51"/>
    <w:rsid w:val="00F54D08"/>
    <w:rsid w:val="00F579CC"/>
    <w:rsid w:val="00F62268"/>
    <w:rsid w:val="00F80B48"/>
    <w:rsid w:val="00F970CA"/>
    <w:rsid w:val="00FD0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4B5A"/>
  <w15:docId w15:val="{04A92822-49BF-488A-86CF-B286D553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B06"/>
    <w:pPr>
      <w:ind w:left="720"/>
      <w:contextualSpacing/>
    </w:pPr>
  </w:style>
  <w:style w:type="paragraph" w:styleId="BalloonText">
    <w:name w:val="Balloon Text"/>
    <w:basedOn w:val="Normal"/>
    <w:link w:val="BalloonTextChar"/>
    <w:uiPriority w:val="99"/>
    <w:semiHidden/>
    <w:unhideWhenUsed/>
    <w:rsid w:val="002B5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F51"/>
    <w:rPr>
      <w:rFonts w:ascii="Tahoma" w:hAnsi="Tahoma" w:cs="Tahoma"/>
      <w:sz w:val="16"/>
      <w:szCs w:val="16"/>
    </w:rPr>
  </w:style>
  <w:style w:type="character" w:styleId="CommentReference">
    <w:name w:val="annotation reference"/>
    <w:basedOn w:val="DefaultParagraphFont"/>
    <w:uiPriority w:val="99"/>
    <w:semiHidden/>
    <w:unhideWhenUsed/>
    <w:rsid w:val="001C1CA6"/>
    <w:rPr>
      <w:sz w:val="16"/>
      <w:szCs w:val="16"/>
    </w:rPr>
  </w:style>
  <w:style w:type="paragraph" w:styleId="CommentText">
    <w:name w:val="annotation text"/>
    <w:basedOn w:val="Normal"/>
    <w:link w:val="CommentTextChar"/>
    <w:uiPriority w:val="99"/>
    <w:semiHidden/>
    <w:unhideWhenUsed/>
    <w:rsid w:val="001C1CA6"/>
    <w:pPr>
      <w:spacing w:line="240" w:lineRule="auto"/>
    </w:pPr>
    <w:rPr>
      <w:sz w:val="20"/>
      <w:szCs w:val="20"/>
    </w:rPr>
  </w:style>
  <w:style w:type="character" w:customStyle="1" w:styleId="CommentTextChar">
    <w:name w:val="Comment Text Char"/>
    <w:basedOn w:val="DefaultParagraphFont"/>
    <w:link w:val="CommentText"/>
    <w:uiPriority w:val="99"/>
    <w:semiHidden/>
    <w:rsid w:val="001C1CA6"/>
    <w:rPr>
      <w:sz w:val="20"/>
      <w:szCs w:val="20"/>
    </w:rPr>
  </w:style>
  <w:style w:type="paragraph" w:styleId="CommentSubject">
    <w:name w:val="annotation subject"/>
    <w:basedOn w:val="CommentText"/>
    <w:next w:val="CommentText"/>
    <w:link w:val="CommentSubjectChar"/>
    <w:uiPriority w:val="99"/>
    <w:semiHidden/>
    <w:unhideWhenUsed/>
    <w:rsid w:val="001C1CA6"/>
    <w:rPr>
      <w:b/>
      <w:bCs/>
    </w:rPr>
  </w:style>
  <w:style w:type="character" w:customStyle="1" w:styleId="CommentSubjectChar">
    <w:name w:val="Comment Subject Char"/>
    <w:basedOn w:val="CommentTextChar"/>
    <w:link w:val="CommentSubject"/>
    <w:uiPriority w:val="99"/>
    <w:semiHidden/>
    <w:rsid w:val="001C1CA6"/>
    <w:rPr>
      <w:b/>
      <w:bCs/>
      <w:sz w:val="20"/>
      <w:szCs w:val="20"/>
    </w:rPr>
  </w:style>
  <w:style w:type="paragraph" w:styleId="Revision">
    <w:name w:val="Revision"/>
    <w:hidden/>
    <w:uiPriority w:val="99"/>
    <w:semiHidden/>
    <w:rsid w:val="005D524B"/>
    <w:pPr>
      <w:spacing w:after="0" w:line="240" w:lineRule="auto"/>
    </w:pPr>
  </w:style>
  <w:style w:type="paragraph" w:styleId="FootnoteText">
    <w:name w:val="footnote text"/>
    <w:basedOn w:val="Normal"/>
    <w:link w:val="FootnoteTextChar"/>
    <w:uiPriority w:val="99"/>
    <w:semiHidden/>
    <w:unhideWhenUsed/>
    <w:rsid w:val="008230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008"/>
    <w:rPr>
      <w:sz w:val="20"/>
      <w:szCs w:val="20"/>
    </w:rPr>
  </w:style>
  <w:style w:type="character" w:styleId="FootnoteReference">
    <w:name w:val="footnote reference"/>
    <w:basedOn w:val="DefaultParagraphFont"/>
    <w:uiPriority w:val="99"/>
    <w:semiHidden/>
    <w:unhideWhenUsed/>
    <w:rsid w:val="00823008"/>
    <w:rPr>
      <w:vertAlign w:val="superscript"/>
    </w:rPr>
  </w:style>
  <w:style w:type="paragraph" w:styleId="Header">
    <w:name w:val="header"/>
    <w:basedOn w:val="Normal"/>
    <w:link w:val="HeaderChar"/>
    <w:uiPriority w:val="99"/>
    <w:unhideWhenUsed/>
    <w:rsid w:val="00B13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90B"/>
  </w:style>
  <w:style w:type="paragraph" w:styleId="Footer">
    <w:name w:val="footer"/>
    <w:basedOn w:val="Normal"/>
    <w:link w:val="FooterChar"/>
    <w:uiPriority w:val="99"/>
    <w:unhideWhenUsed/>
    <w:rsid w:val="00B13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90B"/>
  </w:style>
  <w:style w:type="table" w:styleId="TableGrid">
    <w:name w:val="Table Grid"/>
    <w:basedOn w:val="TableNormal"/>
    <w:uiPriority w:val="59"/>
    <w:rsid w:val="00F07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69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2332">
      <w:bodyDiv w:val="1"/>
      <w:marLeft w:val="0"/>
      <w:marRight w:val="0"/>
      <w:marTop w:val="0"/>
      <w:marBottom w:val="0"/>
      <w:divBdr>
        <w:top w:val="none" w:sz="0" w:space="0" w:color="auto"/>
        <w:left w:val="none" w:sz="0" w:space="0" w:color="auto"/>
        <w:bottom w:val="none" w:sz="0" w:space="0" w:color="auto"/>
        <w:right w:val="none" w:sz="0" w:space="0" w:color="auto"/>
      </w:divBdr>
    </w:div>
    <w:div w:id="476647166">
      <w:bodyDiv w:val="1"/>
      <w:marLeft w:val="0"/>
      <w:marRight w:val="0"/>
      <w:marTop w:val="0"/>
      <w:marBottom w:val="0"/>
      <w:divBdr>
        <w:top w:val="none" w:sz="0" w:space="0" w:color="auto"/>
        <w:left w:val="none" w:sz="0" w:space="0" w:color="auto"/>
        <w:bottom w:val="none" w:sz="0" w:space="0" w:color="auto"/>
        <w:right w:val="none" w:sz="0" w:space="0" w:color="auto"/>
      </w:divBdr>
    </w:div>
    <w:div w:id="501168098">
      <w:bodyDiv w:val="1"/>
      <w:marLeft w:val="0"/>
      <w:marRight w:val="0"/>
      <w:marTop w:val="0"/>
      <w:marBottom w:val="0"/>
      <w:divBdr>
        <w:top w:val="none" w:sz="0" w:space="0" w:color="auto"/>
        <w:left w:val="none" w:sz="0" w:space="0" w:color="auto"/>
        <w:bottom w:val="none" w:sz="0" w:space="0" w:color="auto"/>
        <w:right w:val="none" w:sz="0" w:space="0" w:color="auto"/>
      </w:divBdr>
    </w:div>
    <w:div w:id="554317296">
      <w:bodyDiv w:val="1"/>
      <w:marLeft w:val="0"/>
      <w:marRight w:val="0"/>
      <w:marTop w:val="0"/>
      <w:marBottom w:val="0"/>
      <w:divBdr>
        <w:top w:val="none" w:sz="0" w:space="0" w:color="auto"/>
        <w:left w:val="none" w:sz="0" w:space="0" w:color="auto"/>
        <w:bottom w:val="none" w:sz="0" w:space="0" w:color="auto"/>
        <w:right w:val="none" w:sz="0" w:space="0" w:color="auto"/>
      </w:divBdr>
      <w:divsChild>
        <w:div w:id="1043479057">
          <w:marLeft w:val="0"/>
          <w:marRight w:val="0"/>
          <w:marTop w:val="0"/>
          <w:marBottom w:val="0"/>
          <w:divBdr>
            <w:top w:val="none" w:sz="0" w:space="0" w:color="auto"/>
            <w:left w:val="none" w:sz="0" w:space="0" w:color="auto"/>
            <w:bottom w:val="none" w:sz="0" w:space="0" w:color="auto"/>
            <w:right w:val="none" w:sz="0" w:space="0" w:color="auto"/>
          </w:divBdr>
        </w:div>
        <w:div w:id="810830015">
          <w:marLeft w:val="0"/>
          <w:marRight w:val="0"/>
          <w:marTop w:val="0"/>
          <w:marBottom w:val="0"/>
          <w:divBdr>
            <w:top w:val="none" w:sz="0" w:space="0" w:color="auto"/>
            <w:left w:val="none" w:sz="0" w:space="0" w:color="auto"/>
            <w:bottom w:val="none" w:sz="0" w:space="0" w:color="auto"/>
            <w:right w:val="none" w:sz="0" w:space="0" w:color="auto"/>
          </w:divBdr>
        </w:div>
        <w:div w:id="1517889559">
          <w:marLeft w:val="0"/>
          <w:marRight w:val="0"/>
          <w:marTop w:val="0"/>
          <w:marBottom w:val="0"/>
          <w:divBdr>
            <w:top w:val="none" w:sz="0" w:space="0" w:color="auto"/>
            <w:left w:val="none" w:sz="0" w:space="0" w:color="auto"/>
            <w:bottom w:val="none" w:sz="0" w:space="0" w:color="auto"/>
            <w:right w:val="none" w:sz="0" w:space="0" w:color="auto"/>
          </w:divBdr>
        </w:div>
        <w:div w:id="503394625">
          <w:marLeft w:val="0"/>
          <w:marRight w:val="0"/>
          <w:marTop w:val="0"/>
          <w:marBottom w:val="0"/>
          <w:divBdr>
            <w:top w:val="none" w:sz="0" w:space="0" w:color="auto"/>
            <w:left w:val="none" w:sz="0" w:space="0" w:color="auto"/>
            <w:bottom w:val="none" w:sz="0" w:space="0" w:color="auto"/>
            <w:right w:val="none" w:sz="0" w:space="0" w:color="auto"/>
          </w:divBdr>
        </w:div>
      </w:divsChild>
    </w:div>
    <w:div w:id="754202015">
      <w:bodyDiv w:val="1"/>
      <w:marLeft w:val="0"/>
      <w:marRight w:val="0"/>
      <w:marTop w:val="0"/>
      <w:marBottom w:val="0"/>
      <w:divBdr>
        <w:top w:val="none" w:sz="0" w:space="0" w:color="auto"/>
        <w:left w:val="none" w:sz="0" w:space="0" w:color="auto"/>
        <w:bottom w:val="none" w:sz="0" w:space="0" w:color="auto"/>
        <w:right w:val="none" w:sz="0" w:space="0" w:color="auto"/>
      </w:divBdr>
    </w:div>
    <w:div w:id="1045984601">
      <w:bodyDiv w:val="1"/>
      <w:marLeft w:val="0"/>
      <w:marRight w:val="0"/>
      <w:marTop w:val="0"/>
      <w:marBottom w:val="0"/>
      <w:divBdr>
        <w:top w:val="none" w:sz="0" w:space="0" w:color="auto"/>
        <w:left w:val="none" w:sz="0" w:space="0" w:color="auto"/>
        <w:bottom w:val="none" w:sz="0" w:space="0" w:color="auto"/>
        <w:right w:val="none" w:sz="0" w:space="0" w:color="auto"/>
      </w:divBdr>
    </w:div>
    <w:div w:id="1180389040">
      <w:bodyDiv w:val="1"/>
      <w:marLeft w:val="0"/>
      <w:marRight w:val="0"/>
      <w:marTop w:val="0"/>
      <w:marBottom w:val="0"/>
      <w:divBdr>
        <w:top w:val="none" w:sz="0" w:space="0" w:color="auto"/>
        <w:left w:val="none" w:sz="0" w:space="0" w:color="auto"/>
        <w:bottom w:val="none" w:sz="0" w:space="0" w:color="auto"/>
        <w:right w:val="none" w:sz="0" w:space="0" w:color="auto"/>
      </w:divBdr>
    </w:div>
    <w:div w:id="1500388196">
      <w:bodyDiv w:val="1"/>
      <w:marLeft w:val="0"/>
      <w:marRight w:val="0"/>
      <w:marTop w:val="0"/>
      <w:marBottom w:val="0"/>
      <w:divBdr>
        <w:top w:val="none" w:sz="0" w:space="0" w:color="auto"/>
        <w:left w:val="none" w:sz="0" w:space="0" w:color="auto"/>
        <w:bottom w:val="none" w:sz="0" w:space="0" w:color="auto"/>
        <w:right w:val="none" w:sz="0" w:space="0" w:color="auto"/>
      </w:divBdr>
    </w:div>
    <w:div w:id="1581332027">
      <w:bodyDiv w:val="1"/>
      <w:marLeft w:val="0"/>
      <w:marRight w:val="0"/>
      <w:marTop w:val="0"/>
      <w:marBottom w:val="0"/>
      <w:divBdr>
        <w:top w:val="none" w:sz="0" w:space="0" w:color="auto"/>
        <w:left w:val="none" w:sz="0" w:space="0" w:color="auto"/>
        <w:bottom w:val="none" w:sz="0" w:space="0" w:color="auto"/>
        <w:right w:val="none" w:sz="0" w:space="0" w:color="auto"/>
      </w:divBdr>
    </w:div>
    <w:div w:id="1591818852">
      <w:bodyDiv w:val="1"/>
      <w:marLeft w:val="0"/>
      <w:marRight w:val="0"/>
      <w:marTop w:val="0"/>
      <w:marBottom w:val="0"/>
      <w:divBdr>
        <w:top w:val="none" w:sz="0" w:space="0" w:color="auto"/>
        <w:left w:val="none" w:sz="0" w:space="0" w:color="auto"/>
        <w:bottom w:val="none" w:sz="0" w:space="0" w:color="auto"/>
        <w:right w:val="none" w:sz="0" w:space="0" w:color="auto"/>
      </w:divBdr>
    </w:div>
    <w:div w:id="1617444686">
      <w:bodyDiv w:val="1"/>
      <w:marLeft w:val="0"/>
      <w:marRight w:val="0"/>
      <w:marTop w:val="0"/>
      <w:marBottom w:val="0"/>
      <w:divBdr>
        <w:top w:val="none" w:sz="0" w:space="0" w:color="auto"/>
        <w:left w:val="none" w:sz="0" w:space="0" w:color="auto"/>
        <w:bottom w:val="none" w:sz="0" w:space="0" w:color="auto"/>
        <w:right w:val="none" w:sz="0" w:space="0" w:color="auto"/>
      </w:divBdr>
    </w:div>
    <w:div w:id="1686898938">
      <w:bodyDiv w:val="1"/>
      <w:marLeft w:val="0"/>
      <w:marRight w:val="0"/>
      <w:marTop w:val="0"/>
      <w:marBottom w:val="0"/>
      <w:divBdr>
        <w:top w:val="none" w:sz="0" w:space="0" w:color="auto"/>
        <w:left w:val="none" w:sz="0" w:space="0" w:color="auto"/>
        <w:bottom w:val="none" w:sz="0" w:space="0" w:color="auto"/>
        <w:right w:val="none" w:sz="0" w:space="0" w:color="auto"/>
      </w:divBdr>
    </w:div>
    <w:div w:id="1779330133">
      <w:bodyDiv w:val="1"/>
      <w:marLeft w:val="0"/>
      <w:marRight w:val="0"/>
      <w:marTop w:val="0"/>
      <w:marBottom w:val="0"/>
      <w:divBdr>
        <w:top w:val="none" w:sz="0" w:space="0" w:color="auto"/>
        <w:left w:val="none" w:sz="0" w:space="0" w:color="auto"/>
        <w:bottom w:val="none" w:sz="0" w:space="0" w:color="auto"/>
        <w:right w:val="none" w:sz="0" w:space="0" w:color="auto"/>
      </w:divBdr>
    </w:div>
    <w:div w:id="1882325504">
      <w:bodyDiv w:val="1"/>
      <w:marLeft w:val="0"/>
      <w:marRight w:val="0"/>
      <w:marTop w:val="0"/>
      <w:marBottom w:val="0"/>
      <w:divBdr>
        <w:top w:val="none" w:sz="0" w:space="0" w:color="auto"/>
        <w:left w:val="none" w:sz="0" w:space="0" w:color="auto"/>
        <w:bottom w:val="none" w:sz="0" w:space="0" w:color="auto"/>
        <w:right w:val="none" w:sz="0" w:space="0" w:color="auto"/>
      </w:divBdr>
    </w:div>
    <w:div w:id="21130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66aabb8-7ec2-447a-a7ff-f911015037e7">UVNUSV5RWJH5-815657195-555</_dlc_DocId>
    <_dlc_DocIdUrl xmlns="866aabb8-7ec2-447a-a7ff-f911015037e7">
      <Url>https://myintracomm-collab.ec.europa.eu/dg/CONNECT/directorateG/UnitG1/_layouts/15/DocIdRedir.aspx?ID=UVNUSV5RWJH5-815657195-555</Url>
      <Description>UVNUSV5RWJH5-815657195-555</Description>
    </_dlc_DocIdUrl>
    <EC_Collab_Reference xmlns="8a4779a7-a821-41bc-9264-6a7285c3b1da" xsi:nil="true"/>
    <EC_Collab_DocumentLanguage xmlns="8a4779a7-a821-41bc-9264-6a7285c3b1da">EN</EC_Collab_DocumentLangu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27C23-1F86-4175-87CD-810B04B00BB3}">
  <ds:schemaRefs>
    <ds:schemaRef ds:uri="http://schemas.microsoft.com/sharepoint/events"/>
  </ds:schemaRefs>
</ds:datastoreItem>
</file>

<file path=customXml/itemProps2.xml><?xml version="1.0" encoding="utf-8"?>
<ds:datastoreItem xmlns:ds="http://schemas.openxmlformats.org/officeDocument/2006/customXml" ds:itemID="{1385F7A7-7AA8-4ABF-B8C8-4BCB82E59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FC51E-90C7-4E94-A514-5F0C00E92B73}">
  <ds:schemaRefs>
    <ds:schemaRef ds:uri="http://schemas.microsoft.com/office/2006/metadata/properties"/>
    <ds:schemaRef ds:uri="http://schemas.microsoft.com/office/infopath/2007/PartnerControls"/>
    <ds:schemaRef ds:uri="866aabb8-7ec2-447a-a7ff-f911015037e7"/>
    <ds:schemaRef ds:uri="8a4779a7-a821-41bc-9264-6a7285c3b1da"/>
  </ds:schemaRefs>
</ds:datastoreItem>
</file>

<file path=customXml/itemProps4.xml><?xml version="1.0" encoding="utf-8"?>
<ds:datastoreItem xmlns:ds="http://schemas.openxmlformats.org/officeDocument/2006/customXml" ds:itemID="{B28B640B-2D90-4C05-A809-27F3258937AC}">
  <ds:schemaRefs>
    <ds:schemaRef ds:uri="http://schemas.microsoft.com/sharepoint/v3/contenttype/forms"/>
  </ds:schemaRefs>
</ds:datastoreItem>
</file>

<file path=customXml/itemProps5.xml><?xml version="1.0" encoding="utf-8"?>
<ds:datastoreItem xmlns:ds="http://schemas.openxmlformats.org/officeDocument/2006/customXml" ds:itemID="{B47B782A-B6B2-4791-8403-1448E6E6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7075</Words>
  <Characters>4033</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IMREI Katalin</dc:creator>
  <cp:lastModifiedBy>Marijus Muralis</cp:lastModifiedBy>
  <cp:revision>10</cp:revision>
  <dcterms:created xsi:type="dcterms:W3CDTF">2018-10-12T08:15:00Z</dcterms:created>
  <dcterms:modified xsi:type="dcterms:W3CDTF">2018-11-13T12:04:00Z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d272d606-60e7-4f2d-914c-65e614628d16</vt:lpwstr>
  </property>
  <property fmtid="{D5CDD505-2E9C-101B-9397-08002B2CF9AE}" pid="3" name="ContentTypeId">
    <vt:lpwstr>0x010100258AA79CEB83498886A3A086811232500033CE8E76DF1EC14FB803D6FF12E6DEFF</vt:lpwstr>
  </property>
</Properties>
</file>